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CC10B2" w:rsidTr="001E3053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0102D4" w:rsidRDefault="00294A89" w:rsidP="001E305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0102D4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E05B52" w:rsidRPr="000102D4" w:rsidRDefault="00E05B52" w:rsidP="00E05B52">
            <w:pPr>
              <w:rPr>
                <w:rFonts w:ascii="Arial" w:hAnsi="Arial" w:cs="Arial"/>
                <w:b/>
                <w:bCs/>
              </w:rPr>
            </w:pPr>
            <w:r w:rsidRPr="000102D4">
              <w:rPr>
                <w:rFonts w:ascii="Arial" w:hAnsi="Arial" w:cs="Arial"/>
                <w:b/>
                <w:bCs/>
              </w:rPr>
              <w:t>Klinička epidemiologija s medicinom utemeljenom na dokazima</w:t>
            </w:r>
          </w:p>
          <w:p w:rsidR="00294A89" w:rsidRPr="000102D4" w:rsidRDefault="00294A89" w:rsidP="001E305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</w:p>
        </w:tc>
      </w:tr>
      <w:tr w:rsidR="00294A89" w:rsidRPr="00CC10B2" w:rsidTr="001E3053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102D4" w:rsidRDefault="00294A89" w:rsidP="001E3053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0102D4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102D4" w:rsidRDefault="00294A89" w:rsidP="00294A89">
            <w:pPr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MFMI…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102D4" w:rsidRDefault="00294A89" w:rsidP="001E3053">
            <w:pPr>
              <w:spacing w:after="0" w:line="240" w:lineRule="auto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102D4" w:rsidRDefault="00E05B52" w:rsidP="00294A89">
            <w:pPr>
              <w:spacing w:after="0" w:line="240" w:lineRule="auto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6</w:t>
            </w:r>
            <w:r w:rsidR="00294A89" w:rsidRPr="000102D4">
              <w:rPr>
                <w:rFonts w:ascii="Arial" w:hAnsi="Arial" w:cs="Arial"/>
              </w:rPr>
              <w:t>.</w:t>
            </w:r>
          </w:p>
        </w:tc>
      </w:tr>
      <w:tr w:rsidR="00294A89" w:rsidRPr="00CC10B2" w:rsidTr="001E3053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102D4" w:rsidRDefault="00294A89" w:rsidP="001E3053">
            <w:pPr>
              <w:spacing w:after="0" w:line="240" w:lineRule="auto"/>
              <w:rPr>
                <w:rFonts w:ascii="Arial" w:hAnsi="Arial" w:cs="Arial"/>
              </w:rPr>
            </w:pPr>
            <w:r w:rsidRPr="000102D4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102D4" w:rsidRDefault="00E05B52" w:rsidP="00E05B52">
            <w:pPr>
              <w:spacing w:after="0" w:line="240" w:lineRule="auto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 xml:space="preserve">Doc. dr. </w:t>
            </w:r>
            <w:proofErr w:type="spellStart"/>
            <w:r w:rsidRPr="000102D4">
              <w:rPr>
                <w:rFonts w:ascii="Arial" w:hAnsi="Arial" w:cs="Arial"/>
              </w:rPr>
              <w:t>sc</w:t>
            </w:r>
            <w:proofErr w:type="spellEnd"/>
            <w:r w:rsidRPr="000102D4">
              <w:rPr>
                <w:rFonts w:ascii="Arial" w:hAnsi="Arial" w:cs="Arial"/>
              </w:rPr>
              <w:t xml:space="preserve">. Ivana </w:t>
            </w:r>
            <w:proofErr w:type="spellStart"/>
            <w:r w:rsidRPr="000102D4">
              <w:rPr>
                <w:rFonts w:ascii="Arial" w:hAnsi="Arial" w:cs="Arial"/>
              </w:rPr>
              <w:t>Kolčić</w:t>
            </w:r>
            <w:proofErr w:type="spellEnd"/>
            <w:r w:rsidRPr="000102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102D4" w:rsidRDefault="00294A89" w:rsidP="001E3053">
            <w:pPr>
              <w:spacing w:after="0" w:line="240" w:lineRule="auto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102D4" w:rsidRDefault="00294A89" w:rsidP="001E3053">
            <w:pPr>
              <w:spacing w:after="0" w:line="240" w:lineRule="auto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2D4">
              <w:rPr>
                <w:rFonts w:ascii="Arial" w:hAnsi="Arial" w:cs="Arial"/>
              </w:rPr>
              <w:instrText xml:space="preserve"> FORMTEXT </w:instrText>
            </w:r>
            <w:r w:rsidRPr="000102D4">
              <w:rPr>
                <w:rFonts w:ascii="Arial" w:hAnsi="Arial" w:cs="Arial"/>
              </w:rPr>
            </w:r>
            <w:r w:rsidRPr="000102D4">
              <w:rPr>
                <w:rFonts w:ascii="Arial" w:hAnsi="Arial" w:cs="Arial"/>
              </w:rPr>
              <w:fldChar w:fldCharType="separate"/>
            </w:r>
            <w:r w:rsidRPr="000102D4">
              <w:rPr>
                <w:rFonts w:ascii="Arial" w:hAnsi="Arial" w:cs="Arial"/>
              </w:rPr>
              <w:t> </w:t>
            </w:r>
            <w:r w:rsidRPr="000102D4">
              <w:rPr>
                <w:rFonts w:ascii="Arial" w:hAnsi="Arial" w:cs="Arial"/>
              </w:rPr>
              <w:t> </w:t>
            </w:r>
            <w:r w:rsidRPr="000102D4">
              <w:rPr>
                <w:rFonts w:ascii="Arial" w:hAnsi="Arial" w:cs="Arial"/>
              </w:rPr>
              <w:t> </w:t>
            </w:r>
            <w:r w:rsidRPr="000102D4">
              <w:rPr>
                <w:rFonts w:ascii="Arial" w:hAnsi="Arial" w:cs="Arial"/>
              </w:rPr>
              <w:t> </w:t>
            </w:r>
            <w:r w:rsidRPr="000102D4">
              <w:rPr>
                <w:rFonts w:ascii="Arial" w:hAnsi="Arial" w:cs="Arial"/>
              </w:rPr>
              <w:t> </w:t>
            </w:r>
            <w:r w:rsidRPr="000102D4">
              <w:rPr>
                <w:rFonts w:ascii="Arial" w:hAnsi="Arial" w:cs="Arial"/>
              </w:rPr>
              <w:fldChar w:fldCharType="end"/>
            </w:r>
            <w:r w:rsidRPr="000102D4">
              <w:rPr>
                <w:rFonts w:ascii="Arial" w:hAnsi="Arial" w:cs="Arial"/>
              </w:rPr>
              <w:t>2</w:t>
            </w:r>
          </w:p>
        </w:tc>
      </w:tr>
      <w:tr w:rsidR="00294A89" w:rsidRPr="00CC10B2" w:rsidTr="001E3053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102D4" w:rsidRDefault="00294A89" w:rsidP="001E3053">
            <w:pPr>
              <w:spacing w:after="0" w:line="240" w:lineRule="auto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102D4" w:rsidRDefault="00E05B52" w:rsidP="001E3053">
            <w:pPr>
              <w:spacing w:after="0" w:line="240" w:lineRule="auto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 xml:space="preserve">prof. dr. </w:t>
            </w:r>
            <w:proofErr w:type="spellStart"/>
            <w:r w:rsidRPr="000102D4">
              <w:rPr>
                <w:rFonts w:ascii="Arial" w:hAnsi="Arial" w:cs="Arial"/>
              </w:rPr>
              <w:t>sc</w:t>
            </w:r>
            <w:proofErr w:type="spellEnd"/>
            <w:r w:rsidRPr="000102D4">
              <w:rPr>
                <w:rFonts w:ascii="Arial" w:hAnsi="Arial" w:cs="Arial"/>
              </w:rPr>
              <w:t xml:space="preserve">. Zoran Đogaš, izv. prof. Ozren </w:t>
            </w:r>
            <w:proofErr w:type="spellStart"/>
            <w:r w:rsidRPr="000102D4">
              <w:rPr>
                <w:rFonts w:ascii="Arial" w:hAnsi="Arial" w:cs="Arial"/>
              </w:rPr>
              <w:t>Polašek</w:t>
            </w:r>
            <w:proofErr w:type="spellEnd"/>
            <w:r w:rsidRPr="000102D4">
              <w:rPr>
                <w:rFonts w:ascii="Arial" w:hAnsi="Arial" w:cs="Arial"/>
              </w:rPr>
              <w:t xml:space="preserve">, doc. dr. </w:t>
            </w:r>
            <w:proofErr w:type="spellStart"/>
            <w:r w:rsidRPr="000102D4">
              <w:rPr>
                <w:rFonts w:ascii="Arial" w:hAnsi="Arial" w:cs="Arial"/>
              </w:rPr>
              <w:t>sc</w:t>
            </w:r>
            <w:proofErr w:type="spellEnd"/>
            <w:r w:rsidRPr="000102D4">
              <w:rPr>
                <w:rFonts w:ascii="Arial" w:hAnsi="Arial" w:cs="Arial"/>
              </w:rPr>
              <w:t xml:space="preserve">. Daniela Marasović Krstulović, dr. </w:t>
            </w:r>
            <w:proofErr w:type="spellStart"/>
            <w:r w:rsidRPr="000102D4">
              <w:rPr>
                <w:rFonts w:ascii="Arial" w:hAnsi="Arial" w:cs="Arial"/>
              </w:rPr>
              <w:t>sc</w:t>
            </w:r>
            <w:proofErr w:type="spellEnd"/>
            <w:r w:rsidRPr="000102D4">
              <w:rPr>
                <w:rFonts w:ascii="Arial" w:hAnsi="Arial" w:cs="Arial"/>
              </w:rPr>
              <w:t xml:space="preserve">. Zrinka Jurišić, doc. dr. </w:t>
            </w:r>
            <w:proofErr w:type="spellStart"/>
            <w:r w:rsidRPr="000102D4">
              <w:rPr>
                <w:rFonts w:ascii="Arial" w:hAnsi="Arial" w:cs="Arial"/>
              </w:rPr>
              <w:t>sc</w:t>
            </w:r>
            <w:proofErr w:type="spellEnd"/>
            <w:r w:rsidRPr="000102D4">
              <w:rPr>
                <w:rFonts w:ascii="Arial" w:hAnsi="Arial" w:cs="Arial"/>
              </w:rPr>
              <w:t>. Nataša Boban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102D4" w:rsidRDefault="00294A89" w:rsidP="001E3053">
            <w:pPr>
              <w:spacing w:after="0" w:line="240" w:lineRule="auto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0102D4" w:rsidRDefault="00294A89" w:rsidP="001E30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0102D4" w:rsidRDefault="00294A89" w:rsidP="001E30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0102D4" w:rsidRDefault="00294A89" w:rsidP="001E30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0102D4" w:rsidRDefault="00294A89" w:rsidP="001E30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0102D4" w:rsidRDefault="00294A89" w:rsidP="001E3053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CC10B2" w:rsidTr="001E3053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102D4" w:rsidRDefault="00294A89" w:rsidP="001E30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102D4" w:rsidRDefault="00294A89" w:rsidP="001E30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102D4" w:rsidRDefault="00294A89" w:rsidP="001E30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0102D4" w:rsidRDefault="00E05B52" w:rsidP="001E30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0102D4" w:rsidRDefault="00E05B52" w:rsidP="001E30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0102D4" w:rsidRDefault="00E05B52" w:rsidP="001E30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0102D4" w:rsidRDefault="00E05B52" w:rsidP="001E30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25</w:t>
            </w: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0102D4" w:rsidRDefault="00294A89" w:rsidP="001E30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CC10B2" w:rsidTr="001E3053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102D4" w:rsidRDefault="00294A89" w:rsidP="001E3053">
            <w:pPr>
              <w:spacing w:after="0" w:line="240" w:lineRule="auto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102D4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2D4">
              <w:rPr>
                <w:rFonts w:ascii="Arial" w:hAnsi="Arial" w:cs="Arial"/>
              </w:rPr>
              <w:instrText xml:space="preserve"> FORMTEXT </w:instrText>
            </w:r>
            <w:r w:rsidRPr="000102D4">
              <w:rPr>
                <w:rFonts w:ascii="Arial" w:hAnsi="Arial" w:cs="Arial"/>
              </w:rPr>
            </w:r>
            <w:r w:rsidRPr="000102D4">
              <w:rPr>
                <w:rFonts w:ascii="Arial" w:hAnsi="Arial" w:cs="Arial"/>
              </w:rPr>
              <w:fldChar w:fldCharType="separate"/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</w:rPr>
              <w:fldChar w:fldCharType="end"/>
            </w:r>
            <w:r w:rsidRPr="000102D4"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102D4" w:rsidRDefault="00294A89" w:rsidP="001E3053">
            <w:pPr>
              <w:spacing w:after="0" w:line="240" w:lineRule="auto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102D4" w:rsidRDefault="00294A89" w:rsidP="001E3053">
            <w:pPr>
              <w:spacing w:after="0" w:line="240" w:lineRule="auto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2D4">
              <w:rPr>
                <w:rFonts w:ascii="Arial" w:hAnsi="Arial" w:cs="Arial"/>
              </w:rPr>
              <w:instrText xml:space="preserve"> FORMTEXT </w:instrText>
            </w:r>
            <w:r w:rsidRPr="000102D4">
              <w:rPr>
                <w:rFonts w:ascii="Arial" w:hAnsi="Arial" w:cs="Arial"/>
              </w:rPr>
            </w:r>
            <w:r w:rsidRPr="000102D4">
              <w:rPr>
                <w:rFonts w:ascii="Arial" w:hAnsi="Arial" w:cs="Arial"/>
              </w:rPr>
              <w:fldChar w:fldCharType="separate"/>
            </w:r>
            <w:r w:rsidRPr="000102D4">
              <w:rPr>
                <w:rFonts w:ascii="Arial" w:hAnsi="Arial" w:cs="Arial"/>
              </w:rPr>
              <w:t> </w:t>
            </w:r>
            <w:r w:rsidRPr="000102D4">
              <w:rPr>
                <w:rFonts w:ascii="Arial" w:hAnsi="Arial" w:cs="Arial"/>
              </w:rPr>
              <w:t> </w:t>
            </w:r>
            <w:r w:rsidRPr="000102D4">
              <w:rPr>
                <w:rFonts w:ascii="Arial" w:hAnsi="Arial" w:cs="Arial"/>
              </w:rPr>
              <w:t> </w:t>
            </w:r>
            <w:r w:rsidRPr="000102D4">
              <w:rPr>
                <w:rFonts w:ascii="Arial" w:hAnsi="Arial" w:cs="Arial"/>
              </w:rPr>
              <w:t> </w:t>
            </w:r>
            <w:r w:rsidRPr="000102D4">
              <w:rPr>
                <w:rFonts w:ascii="Arial" w:hAnsi="Arial" w:cs="Arial"/>
              </w:rPr>
              <w:t> </w:t>
            </w:r>
            <w:r w:rsidRPr="000102D4">
              <w:rPr>
                <w:rFonts w:ascii="Arial" w:hAnsi="Arial" w:cs="Arial"/>
              </w:rPr>
              <w:fldChar w:fldCharType="end"/>
            </w:r>
          </w:p>
          <w:p w:rsidR="00294A89" w:rsidRPr="000102D4" w:rsidRDefault="00294A89" w:rsidP="001E30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0</w:t>
            </w:r>
          </w:p>
        </w:tc>
      </w:tr>
      <w:tr w:rsidR="00294A89" w:rsidRPr="00CC10B2" w:rsidTr="001E3053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0102D4" w:rsidRDefault="00294A89" w:rsidP="001E305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0102D4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CC10B2" w:rsidTr="001E3053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102D4" w:rsidRDefault="00294A89" w:rsidP="001E305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102D4" w:rsidRDefault="00E05B52" w:rsidP="0049331B">
            <w:pPr>
              <w:spacing w:after="0" w:line="240" w:lineRule="auto"/>
              <w:ind w:left="17"/>
              <w:rPr>
                <w:rFonts w:ascii="Arial" w:eastAsia="Times New Roman" w:hAnsi="Arial" w:cs="Arial"/>
              </w:rPr>
            </w:pPr>
            <w:r w:rsidRPr="000102D4">
              <w:rPr>
                <w:rFonts w:ascii="Arial" w:eastAsia="Times New Roman" w:hAnsi="Arial" w:cs="Arial"/>
              </w:rPr>
              <w:t>Osposobiti student</w:t>
            </w:r>
            <w:r w:rsidR="00C919FE">
              <w:rPr>
                <w:rFonts w:ascii="Arial" w:eastAsia="Times New Roman" w:hAnsi="Arial" w:cs="Arial"/>
              </w:rPr>
              <w:t>e</w:t>
            </w:r>
            <w:r w:rsidRPr="000102D4">
              <w:rPr>
                <w:rFonts w:ascii="Arial" w:eastAsia="Times New Roman" w:hAnsi="Arial" w:cs="Arial"/>
              </w:rPr>
              <w:t xml:space="preserve"> za korištenje </w:t>
            </w:r>
            <w:r w:rsidR="00C03C97" w:rsidRPr="000102D4">
              <w:rPr>
                <w:rFonts w:ascii="Arial" w:eastAsia="Times New Roman" w:hAnsi="Arial" w:cs="Arial"/>
              </w:rPr>
              <w:t xml:space="preserve">metoda kliničke epidemiologije i </w:t>
            </w:r>
            <w:r w:rsidRPr="000102D4">
              <w:rPr>
                <w:rFonts w:ascii="Arial" w:eastAsia="Times New Roman" w:hAnsi="Arial" w:cs="Arial"/>
              </w:rPr>
              <w:t xml:space="preserve">principa medicine utemeljene na dokazima </w:t>
            </w:r>
            <w:r w:rsidR="0049331B">
              <w:rPr>
                <w:rFonts w:ascii="Arial" w:eastAsia="Times New Roman" w:hAnsi="Arial" w:cs="Arial"/>
              </w:rPr>
              <w:t>(</w:t>
            </w:r>
            <w:proofErr w:type="spellStart"/>
            <w:r w:rsidR="0049331B">
              <w:rPr>
                <w:rFonts w:ascii="Arial" w:eastAsia="Times New Roman" w:hAnsi="Arial" w:cs="Arial"/>
              </w:rPr>
              <w:t>E</w:t>
            </w:r>
            <w:r w:rsidR="00C03C97" w:rsidRPr="000102D4">
              <w:rPr>
                <w:rFonts w:ascii="Arial" w:eastAsia="Times New Roman" w:hAnsi="Arial" w:cs="Arial"/>
              </w:rPr>
              <w:t>vidence-</w:t>
            </w:r>
            <w:r w:rsidR="0049331B">
              <w:rPr>
                <w:rFonts w:ascii="Arial" w:eastAsia="Times New Roman" w:hAnsi="Arial" w:cs="Arial"/>
              </w:rPr>
              <w:t>B</w:t>
            </w:r>
            <w:r w:rsidR="00C03C97" w:rsidRPr="000102D4">
              <w:rPr>
                <w:rFonts w:ascii="Arial" w:eastAsia="Times New Roman" w:hAnsi="Arial" w:cs="Arial"/>
              </w:rPr>
              <w:t>ased</w:t>
            </w:r>
            <w:proofErr w:type="spellEnd"/>
            <w:r w:rsidR="00C03C97" w:rsidRPr="000102D4">
              <w:rPr>
                <w:rFonts w:ascii="Arial" w:eastAsia="Times New Roman" w:hAnsi="Arial" w:cs="Arial"/>
              </w:rPr>
              <w:t xml:space="preserve"> </w:t>
            </w:r>
            <w:r w:rsidR="0049331B">
              <w:rPr>
                <w:rFonts w:ascii="Arial" w:eastAsia="Times New Roman" w:hAnsi="Arial" w:cs="Arial"/>
              </w:rPr>
              <w:t>M</w:t>
            </w:r>
            <w:r w:rsidR="00C03C97" w:rsidRPr="000102D4">
              <w:rPr>
                <w:rFonts w:ascii="Arial" w:eastAsia="Times New Roman" w:hAnsi="Arial" w:cs="Arial"/>
              </w:rPr>
              <w:t xml:space="preserve">edicine, EBM) </w:t>
            </w:r>
            <w:r w:rsidRPr="000102D4">
              <w:rPr>
                <w:rFonts w:ascii="Arial" w:eastAsia="Times New Roman" w:hAnsi="Arial" w:cs="Arial"/>
              </w:rPr>
              <w:t>u svakodnevnom kliničkom radu na korist pacijenata</w:t>
            </w:r>
          </w:p>
        </w:tc>
      </w:tr>
      <w:tr w:rsidR="00294A89" w:rsidRPr="00CC10B2" w:rsidTr="001E3053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102D4" w:rsidRDefault="00294A89" w:rsidP="001E305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102D4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102D4" w:rsidRDefault="00860E01" w:rsidP="00860E01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05B52" w:rsidRPr="000102D4">
              <w:rPr>
                <w:rFonts w:ascii="Arial" w:hAnsi="Arial" w:cs="Arial"/>
              </w:rPr>
              <w:t>oznavanje vrsta kliničkih pokusa i prosudbe prikladnosti statističkih metoda.</w:t>
            </w:r>
          </w:p>
        </w:tc>
      </w:tr>
      <w:tr w:rsidR="00294A89" w:rsidRPr="00CC10B2" w:rsidTr="001E3053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102D4" w:rsidRDefault="00294A89" w:rsidP="001E305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102D4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03C97" w:rsidRPr="000102D4" w:rsidRDefault="00C03C97" w:rsidP="00C03C97">
            <w:pPr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  <w:b/>
              </w:rPr>
              <w:t xml:space="preserve">Opći: </w:t>
            </w:r>
            <w:r w:rsidRPr="000102D4">
              <w:rPr>
                <w:rFonts w:ascii="Arial" w:hAnsi="Arial" w:cs="Arial"/>
              </w:rPr>
              <w:t xml:space="preserve">Poznavanje kvantitativnih metoda u kliničkim istraživanjima, </w:t>
            </w:r>
            <w:r w:rsidR="002D1CB6">
              <w:rPr>
                <w:rFonts w:ascii="Arial" w:hAnsi="Arial" w:cs="Arial"/>
              </w:rPr>
              <w:t xml:space="preserve">osposobljenost za </w:t>
            </w:r>
            <w:r w:rsidRPr="000102D4">
              <w:rPr>
                <w:rFonts w:ascii="Arial" w:hAnsi="Arial" w:cs="Arial"/>
              </w:rPr>
              <w:t xml:space="preserve">svrsishodno i nepristrano pronalaženje dokaza, kritičko prenošenje znanstvenih spoznaja u kliničku primjenu, te nepristrana prosudba uspješnosti kliničkog rada. </w:t>
            </w:r>
          </w:p>
          <w:p w:rsidR="00294A89" w:rsidRPr="000102D4" w:rsidRDefault="00C03C97" w:rsidP="002D1CB6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  <w:b/>
              </w:rPr>
              <w:t>Specifični:</w:t>
            </w:r>
            <w:r w:rsidRPr="000102D4">
              <w:rPr>
                <w:rFonts w:ascii="Arial" w:hAnsi="Arial" w:cs="Arial"/>
              </w:rPr>
              <w:t xml:space="preserve"> poznavanje </w:t>
            </w:r>
            <w:r w:rsidR="002D1CB6">
              <w:rPr>
                <w:rFonts w:ascii="Arial" w:hAnsi="Arial" w:cs="Arial"/>
              </w:rPr>
              <w:t>pristupa za primjenu</w:t>
            </w:r>
            <w:r w:rsidR="002D1CB6" w:rsidRPr="000102D4">
              <w:rPr>
                <w:rFonts w:ascii="Arial" w:hAnsi="Arial" w:cs="Arial"/>
              </w:rPr>
              <w:t xml:space="preserve"> </w:t>
            </w:r>
            <w:r w:rsidRPr="000102D4">
              <w:rPr>
                <w:rFonts w:ascii="Arial" w:hAnsi="Arial" w:cs="Arial"/>
              </w:rPr>
              <w:t xml:space="preserve">kvantitativnih metoda </w:t>
            </w:r>
            <w:r w:rsidR="002D1CB6">
              <w:rPr>
                <w:rFonts w:ascii="Arial" w:hAnsi="Arial" w:cs="Arial"/>
              </w:rPr>
              <w:t xml:space="preserve">kliničke epidemiologije </w:t>
            </w:r>
            <w:r w:rsidRPr="000102D4">
              <w:rPr>
                <w:rFonts w:ascii="Arial" w:hAnsi="Arial" w:cs="Arial"/>
              </w:rPr>
              <w:t>u kliničkoj praksi, poznavanje postupaka EBM i njihove primjene u svakodnevnom radu</w:t>
            </w:r>
          </w:p>
        </w:tc>
      </w:tr>
      <w:tr w:rsidR="00C03C97" w:rsidRPr="00CC10B2" w:rsidTr="001E3053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102D4">
              <w:rPr>
                <w:rFonts w:ascii="Arial" w:hAnsi="Arial" w:cs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 xml:space="preserve">Uvod u kliničku epidemiologiju: djelokrug rada, načelni postupci. Odnos kvantitativnih i kvalitativnih podataka, </w:t>
            </w:r>
            <w:proofErr w:type="spellStart"/>
            <w:r w:rsidRPr="000102D4">
              <w:rPr>
                <w:rFonts w:ascii="Arial" w:hAnsi="Arial" w:cs="Arial"/>
              </w:rPr>
              <w:t>Bayesianska</w:t>
            </w:r>
            <w:proofErr w:type="spellEnd"/>
            <w:r w:rsidRPr="000102D4">
              <w:rPr>
                <w:rFonts w:ascii="Arial" w:hAnsi="Arial" w:cs="Arial"/>
              </w:rPr>
              <w:t xml:space="preserve"> logika u tumačenju kliničkih podataka (predavanja 2 sata)</w:t>
            </w:r>
          </w:p>
          <w:p w:rsidR="00C03C97" w:rsidRPr="000102D4" w:rsidRDefault="00C03C97" w:rsidP="00C03C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Načela kliničkih pokusa: temeljne vrste kliničkih pokusa, novačenje, praćenje i ishod. Pristranost u kliničkim pokusima (predavanja 1 sat, seminar 1 sat)</w:t>
            </w:r>
          </w:p>
          <w:p w:rsidR="00C03C97" w:rsidRPr="000102D4" w:rsidRDefault="00C03C97" w:rsidP="00C03C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Istraživanje uzročnosti: klinički pokusi i kvantitativna procjena (predavanja 1 sat, seminar 2 sata)</w:t>
            </w:r>
          </w:p>
          <w:p w:rsidR="00C03C97" w:rsidRPr="000102D4" w:rsidRDefault="00C03C97" w:rsidP="00C03C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Dijagnostičke metode: klinički pokusi i kvantitativna prosudba (predavanja 2 sata, seminar 2 sata)</w:t>
            </w:r>
          </w:p>
          <w:p w:rsidR="00C03C97" w:rsidRPr="000102D4" w:rsidRDefault="00C03C97" w:rsidP="00C03C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Terapijski postupci: klinički pokusi, procjena uspješnosti i škodljivosti (predavanja 1 sat, seminar 2 sata)</w:t>
            </w:r>
          </w:p>
          <w:p w:rsidR="00C03C97" w:rsidRPr="000102D4" w:rsidRDefault="00C03C97" w:rsidP="00C03C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lastRenderedPageBreak/>
              <w:t>Prognoza bolesti: klinički pokusi i kvantitativna prosudba (predavanja 1 sat, seminar 1 sat)</w:t>
            </w:r>
          </w:p>
          <w:p w:rsidR="00C03C97" w:rsidRPr="000102D4" w:rsidRDefault="00C03C97" w:rsidP="00C03C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Medicina utemeljena na dokazima, dosezi i ograničenja, postupci, postavljanje pitanja, pronalaženja dokaza (predavanja 2 sata, seminar 1 sat)</w:t>
            </w:r>
          </w:p>
          <w:p w:rsidR="00C03C97" w:rsidRPr="000102D4" w:rsidRDefault="00C03C97" w:rsidP="00C03C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Procjena radova o dijagnostičkim postupcima (seminar 2 sata)</w:t>
            </w:r>
          </w:p>
          <w:p w:rsidR="00C03C97" w:rsidRPr="000102D4" w:rsidRDefault="00C03C97" w:rsidP="00C03C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Procjena radova o terapijskim postupcima, uspješnosti i škodljivosti (seminar 2 sata)</w:t>
            </w:r>
          </w:p>
          <w:p w:rsidR="00C03C97" w:rsidRPr="000102D4" w:rsidRDefault="00C03C97" w:rsidP="00C03C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Procjena radova o prognozi i uzročnosti bolesti (seminar 2 sata)</w:t>
            </w:r>
          </w:p>
        </w:tc>
      </w:tr>
      <w:tr w:rsidR="00C03C97" w:rsidRPr="00CC10B2" w:rsidTr="001E3053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102D4">
              <w:rPr>
                <w:rFonts w:ascii="Arial" w:hAnsi="Arial" w:cs="Arial"/>
                <w:color w:val="000000"/>
              </w:rPr>
              <w:lastRenderedPageBreak/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102D4"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t>x</w: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102D4"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t>x</w: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102D4">
              <w:rPr>
                <w:rFonts w:ascii="Segoe UI Symbol" w:eastAsia="MS Gothic" w:hAnsi="Segoe UI Symbol" w:cs="Segoe UI Symbol"/>
                <w:b w:val="0"/>
                <w:sz w:val="22"/>
                <w:szCs w:val="22"/>
                <w:lang w:val="hr-HR"/>
              </w:rPr>
              <w:t>☐</w: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102D4">
              <w:rPr>
                <w:rFonts w:ascii="Segoe UI Symbol" w:eastAsia="MS Gothic" w:hAnsi="Segoe UI Symbol" w:cs="Segoe UI Symbol"/>
                <w:b w:val="0"/>
                <w:sz w:val="22"/>
                <w:szCs w:val="22"/>
                <w:lang w:val="hr-HR"/>
              </w:rPr>
              <w:t>☐</w: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0102D4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102D4">
              <w:rPr>
                <w:rFonts w:ascii="Segoe UI Symbol" w:eastAsia="MS Gothic" w:hAnsi="Segoe UI Symbol" w:cs="Segoe UI Symbol"/>
                <w:b w:val="0"/>
                <w:sz w:val="22"/>
                <w:szCs w:val="22"/>
                <w:lang w:val="hr-HR"/>
              </w:rPr>
              <w:t>☐</w: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C03C97" w:rsidRPr="000102D4" w:rsidRDefault="00C03C97" w:rsidP="00C03C9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0102D4">
              <w:rPr>
                <w:rFonts w:ascii="Segoe UI Symbol" w:eastAsia="MS Gothic" w:hAnsi="Segoe UI Symbol" w:cs="Segoe UI Symbol"/>
              </w:rPr>
              <w:t>☐</w:t>
            </w:r>
            <w:r w:rsidRPr="000102D4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102D4">
              <w:rPr>
                <w:rFonts w:ascii="Segoe UI Symbol" w:eastAsia="MS Gothic" w:hAnsi="Segoe UI Symbol" w:cs="Segoe UI Symbol"/>
                <w:b w:val="0"/>
                <w:sz w:val="22"/>
                <w:szCs w:val="22"/>
                <w:lang w:val="hr-HR"/>
              </w:rPr>
              <w:t>☐</w:t>
            </w:r>
            <w:r w:rsidRPr="000102D4"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102D4">
              <w:rPr>
                <w:rFonts w:ascii="Segoe UI Symbol" w:eastAsia="MS Gothic" w:hAnsi="Segoe UI Symbol" w:cs="Segoe UI Symbol"/>
                <w:b w:val="0"/>
                <w:sz w:val="22"/>
                <w:szCs w:val="22"/>
                <w:lang w:val="hr-HR"/>
              </w:rPr>
              <w:t>☐</w: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102D4">
              <w:rPr>
                <w:rFonts w:ascii="Segoe UI Symbol" w:eastAsia="MS Gothic" w:hAnsi="Segoe UI Symbol" w:cs="Segoe UI Symbol"/>
                <w:b w:val="0"/>
                <w:sz w:val="22"/>
                <w:szCs w:val="22"/>
                <w:lang w:val="hr-HR"/>
              </w:rPr>
              <w:t>☐</w: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102D4">
              <w:rPr>
                <w:rFonts w:ascii="Segoe UI Symbol" w:eastAsia="MS Gothic" w:hAnsi="Segoe UI Symbol" w:cs="Segoe UI Symbol"/>
                <w:b w:val="0"/>
                <w:sz w:val="22"/>
                <w:szCs w:val="22"/>
                <w:lang w:val="hr-HR"/>
              </w:rPr>
              <w:t>☐</w: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C03C97" w:rsidRPr="000102D4" w:rsidRDefault="00C03C97" w:rsidP="00C03C9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0102D4">
              <w:rPr>
                <w:rFonts w:ascii="Segoe UI Symbol" w:eastAsia="MS Gothic" w:hAnsi="Segoe UI Symbol" w:cs="Segoe UI Symbol"/>
              </w:rPr>
              <w:t>☐</w:t>
            </w:r>
            <w:r w:rsidRPr="000102D4">
              <w:rPr>
                <w:rFonts w:ascii="Arial" w:hAnsi="Arial" w:cs="Arial"/>
              </w:rPr>
              <w:t xml:space="preserve"> </w:t>
            </w:r>
            <w:r w:rsidRPr="000102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2D4">
              <w:rPr>
                <w:rFonts w:ascii="Arial" w:hAnsi="Arial" w:cs="Arial"/>
              </w:rPr>
              <w:instrText xml:space="preserve"> FORMTEXT </w:instrText>
            </w:r>
            <w:r w:rsidRPr="000102D4">
              <w:rPr>
                <w:rFonts w:ascii="Arial" w:hAnsi="Arial" w:cs="Arial"/>
              </w:rPr>
            </w:r>
            <w:r w:rsidRPr="000102D4">
              <w:rPr>
                <w:rFonts w:ascii="Arial" w:hAnsi="Arial" w:cs="Arial"/>
              </w:rPr>
              <w:fldChar w:fldCharType="separate"/>
            </w:r>
            <w:r w:rsidRPr="000102D4">
              <w:rPr>
                <w:rFonts w:ascii="Arial" w:hAnsi="Arial" w:cs="Arial"/>
              </w:rPr>
              <w:t> </w:t>
            </w:r>
            <w:r w:rsidRPr="000102D4">
              <w:rPr>
                <w:rFonts w:ascii="Arial" w:hAnsi="Arial" w:cs="Arial"/>
              </w:rPr>
              <w:t> </w:t>
            </w:r>
            <w:r w:rsidRPr="000102D4">
              <w:rPr>
                <w:rFonts w:ascii="Arial" w:hAnsi="Arial" w:cs="Arial"/>
              </w:rPr>
              <w:t> </w:t>
            </w:r>
            <w:r w:rsidRPr="000102D4">
              <w:rPr>
                <w:rFonts w:ascii="Arial" w:hAnsi="Arial" w:cs="Arial"/>
              </w:rPr>
              <w:t> </w:t>
            </w:r>
            <w:r w:rsidRPr="000102D4">
              <w:rPr>
                <w:rFonts w:ascii="Arial" w:hAnsi="Arial" w:cs="Arial"/>
              </w:rPr>
              <w:t> </w:t>
            </w:r>
            <w:r w:rsidRPr="000102D4">
              <w:rPr>
                <w:rFonts w:ascii="Arial" w:hAnsi="Arial" w:cs="Arial"/>
              </w:rPr>
              <w:fldChar w:fldCharType="end"/>
            </w:r>
            <w:r w:rsidRPr="000102D4">
              <w:rPr>
                <w:rFonts w:ascii="Arial" w:hAnsi="Arial" w:cs="Arial"/>
              </w:rPr>
              <w:t xml:space="preserve"> (ostalo upisati)</w:t>
            </w:r>
            <w:r w:rsidRPr="000102D4">
              <w:rPr>
                <w:rFonts w:ascii="Arial" w:hAnsi="Arial" w:cs="Arial"/>
                <w:b/>
              </w:rPr>
              <w:t xml:space="preserve"> </w:t>
            </w:r>
            <w:r w:rsidRPr="000102D4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C03C97" w:rsidRPr="00CC10B2" w:rsidTr="001E3053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C03C97" w:rsidRPr="00CC10B2" w:rsidTr="001E3053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102D4">
              <w:rPr>
                <w:rFonts w:ascii="Arial" w:hAnsi="Arial" w:cs="Arial"/>
                <w:color w:val="000000"/>
              </w:rPr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0102D4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C03C97" w:rsidRPr="00CC10B2" w:rsidTr="001E3053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102D4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0102D4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C03C97" w:rsidRPr="00CC10B2" w:rsidTr="001E3053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102D4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0102D4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C03C97" w:rsidRPr="00CC10B2" w:rsidTr="001E3053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102D4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0102D4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C03C97" w:rsidRPr="00CC10B2" w:rsidTr="001E3053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102D4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2D4">
              <w:rPr>
                <w:rFonts w:ascii="Arial" w:hAnsi="Arial" w:cs="Arial"/>
              </w:rPr>
              <w:instrText xml:space="preserve"> FORMTEXT </w:instrText>
            </w:r>
            <w:r w:rsidRPr="000102D4">
              <w:rPr>
                <w:rFonts w:ascii="Arial" w:hAnsi="Arial" w:cs="Arial"/>
              </w:rPr>
            </w:r>
            <w:r w:rsidRPr="000102D4">
              <w:rPr>
                <w:rFonts w:ascii="Arial" w:hAnsi="Arial" w:cs="Arial"/>
              </w:rPr>
              <w:fldChar w:fldCharType="separate"/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0102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2D4">
              <w:rPr>
                <w:rFonts w:ascii="Arial" w:hAnsi="Arial" w:cs="Arial"/>
              </w:rPr>
              <w:instrText xml:space="preserve"> FORMTEXT </w:instrText>
            </w:r>
            <w:r w:rsidRPr="000102D4">
              <w:rPr>
                <w:rFonts w:ascii="Arial" w:hAnsi="Arial" w:cs="Arial"/>
              </w:rPr>
            </w:r>
            <w:r w:rsidRPr="000102D4">
              <w:rPr>
                <w:rFonts w:ascii="Arial" w:hAnsi="Arial" w:cs="Arial"/>
              </w:rPr>
              <w:fldChar w:fldCharType="separate"/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</w:rPr>
              <w:fldChar w:fldCharType="end"/>
            </w:r>
            <w:r w:rsidRPr="000102D4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0102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2D4">
              <w:rPr>
                <w:rFonts w:ascii="Arial" w:hAnsi="Arial" w:cs="Arial"/>
              </w:rPr>
              <w:instrText xml:space="preserve"> FORMTEXT </w:instrText>
            </w:r>
            <w:r w:rsidRPr="000102D4">
              <w:rPr>
                <w:rFonts w:ascii="Arial" w:hAnsi="Arial" w:cs="Arial"/>
              </w:rPr>
            </w:r>
            <w:r w:rsidRPr="000102D4">
              <w:rPr>
                <w:rFonts w:ascii="Arial" w:hAnsi="Arial" w:cs="Arial"/>
              </w:rPr>
              <w:fldChar w:fldCharType="separate"/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</w:rPr>
              <w:fldChar w:fldCharType="end"/>
            </w:r>
          </w:p>
        </w:tc>
      </w:tr>
      <w:tr w:rsidR="00C03C97" w:rsidRPr="00CC10B2" w:rsidTr="001E3053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0102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2D4">
              <w:rPr>
                <w:rFonts w:ascii="Arial" w:hAnsi="Arial" w:cs="Arial"/>
              </w:rPr>
              <w:instrText xml:space="preserve"> FORMTEXT </w:instrText>
            </w:r>
            <w:r w:rsidRPr="000102D4">
              <w:rPr>
                <w:rFonts w:ascii="Arial" w:hAnsi="Arial" w:cs="Arial"/>
              </w:rPr>
            </w:r>
            <w:r w:rsidRPr="000102D4">
              <w:rPr>
                <w:rFonts w:ascii="Arial" w:hAnsi="Arial" w:cs="Arial"/>
              </w:rPr>
              <w:fldChar w:fldCharType="separate"/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0102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2D4">
              <w:rPr>
                <w:rFonts w:ascii="Arial" w:hAnsi="Arial" w:cs="Arial"/>
              </w:rPr>
              <w:instrText xml:space="preserve"> FORMTEXT </w:instrText>
            </w:r>
            <w:r w:rsidRPr="000102D4">
              <w:rPr>
                <w:rFonts w:ascii="Arial" w:hAnsi="Arial" w:cs="Arial"/>
              </w:rPr>
            </w:r>
            <w:r w:rsidRPr="000102D4">
              <w:rPr>
                <w:rFonts w:ascii="Arial" w:hAnsi="Arial" w:cs="Arial"/>
              </w:rPr>
              <w:fldChar w:fldCharType="separate"/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0102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2D4">
              <w:rPr>
                <w:rFonts w:ascii="Arial" w:hAnsi="Arial" w:cs="Arial"/>
              </w:rPr>
              <w:instrText xml:space="preserve"> FORMTEXT </w:instrText>
            </w:r>
            <w:r w:rsidRPr="000102D4">
              <w:rPr>
                <w:rFonts w:ascii="Arial" w:hAnsi="Arial" w:cs="Arial"/>
              </w:rPr>
            </w:r>
            <w:r w:rsidRPr="000102D4">
              <w:rPr>
                <w:rFonts w:ascii="Arial" w:hAnsi="Arial" w:cs="Arial"/>
              </w:rPr>
              <w:fldChar w:fldCharType="separate"/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</w:rPr>
              <w:fldChar w:fldCharType="end"/>
            </w:r>
            <w:r w:rsidRPr="000102D4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0102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2D4">
              <w:rPr>
                <w:rFonts w:ascii="Arial" w:hAnsi="Arial" w:cs="Arial"/>
              </w:rPr>
              <w:instrText xml:space="preserve"> FORMTEXT </w:instrText>
            </w:r>
            <w:r w:rsidRPr="000102D4">
              <w:rPr>
                <w:rFonts w:ascii="Arial" w:hAnsi="Arial" w:cs="Arial"/>
              </w:rPr>
            </w:r>
            <w:r w:rsidRPr="000102D4">
              <w:rPr>
                <w:rFonts w:ascii="Arial" w:hAnsi="Arial" w:cs="Arial"/>
              </w:rPr>
              <w:fldChar w:fldCharType="separate"/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</w:rPr>
              <w:fldChar w:fldCharType="end"/>
            </w:r>
          </w:p>
        </w:tc>
      </w:tr>
      <w:tr w:rsidR="00C03C97" w:rsidRPr="00CC10B2" w:rsidTr="001E3053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102D4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03C97" w:rsidRPr="000102D4" w:rsidRDefault="00C03C97" w:rsidP="00C03C9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Pisani ispit</w:t>
            </w:r>
            <w:r w:rsidR="00FA2B53">
              <w:rPr>
                <w:rFonts w:ascii="Arial" w:hAnsi="Arial" w:cs="Arial"/>
              </w:rPr>
              <w:t xml:space="preserve"> i seminarski rad</w:t>
            </w:r>
          </w:p>
        </w:tc>
      </w:tr>
      <w:tr w:rsidR="00C03C97" w:rsidRPr="00CC10B2" w:rsidTr="001E3053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102D4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102D4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102D4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102D4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C03C97" w:rsidRPr="00CC10B2" w:rsidTr="001E3053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3C97" w:rsidRPr="0028290E" w:rsidRDefault="00C03C97" w:rsidP="00C03C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8290E">
              <w:rPr>
                <w:rFonts w:ascii="Arial" w:hAnsi="Arial" w:cs="Arial"/>
              </w:rPr>
              <w:t xml:space="preserve">Gamulin S. Klinička istraživanja: klinička epidemiologija, Zagreb, Medicinska naklada, 2015. </w:t>
            </w:r>
          </w:p>
          <w:p w:rsidR="00C03C97" w:rsidRPr="0028290E" w:rsidRDefault="00C03C97" w:rsidP="00C03C9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8290E">
              <w:rPr>
                <w:rFonts w:ascii="Arial" w:hAnsi="Arial" w:cs="Arial"/>
              </w:rPr>
              <w:t>Zadatci za seminare</w:t>
            </w:r>
          </w:p>
          <w:p w:rsidR="00C03C97" w:rsidRPr="0028290E" w:rsidRDefault="00C03C97" w:rsidP="00C03C97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28290E">
              <w:rPr>
                <w:rFonts w:ascii="Arial" w:hAnsi="Arial" w:cs="Arial"/>
              </w:rPr>
              <w:t>Članci iz kojih su sačinjeni zadatci za seminare</w:t>
            </w:r>
          </w:p>
          <w:p w:rsidR="0028290E" w:rsidRPr="0028290E" w:rsidRDefault="0028290E" w:rsidP="0028290E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28290E">
              <w:rPr>
                <w:rFonts w:ascii="Arial" w:hAnsi="Arial" w:cs="Arial"/>
              </w:rPr>
              <w:t>Sažetci predavanja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3C97" w:rsidRPr="000102D4" w:rsidRDefault="00C03C97" w:rsidP="00C03C9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102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2D4">
              <w:rPr>
                <w:rFonts w:ascii="Arial" w:hAnsi="Arial" w:cs="Arial"/>
              </w:rPr>
              <w:instrText xml:space="preserve"> FORMTEXT </w:instrText>
            </w:r>
            <w:r w:rsidRPr="000102D4">
              <w:rPr>
                <w:rFonts w:ascii="Arial" w:hAnsi="Arial" w:cs="Arial"/>
              </w:rPr>
            </w:r>
            <w:r w:rsidRPr="000102D4">
              <w:rPr>
                <w:rFonts w:ascii="Arial" w:hAnsi="Arial" w:cs="Arial"/>
              </w:rPr>
              <w:fldChar w:fldCharType="separate"/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3C97" w:rsidRPr="000102D4" w:rsidRDefault="00C03C97" w:rsidP="00C03C9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03C97" w:rsidRPr="00CC10B2" w:rsidTr="001E3053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102D4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C03C97" w:rsidRPr="000102D4" w:rsidRDefault="00C03C97" w:rsidP="00C03C9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C77DB" w:rsidRPr="000102D4" w:rsidRDefault="00DC77DB" w:rsidP="00EB57CB">
            <w:pPr>
              <w:numPr>
                <w:ilvl w:val="0"/>
                <w:numId w:val="7"/>
              </w:numPr>
              <w:tabs>
                <w:tab w:val="clear" w:pos="720"/>
                <w:tab w:val="num" w:pos="299"/>
              </w:tabs>
              <w:spacing w:after="0" w:line="240" w:lineRule="auto"/>
              <w:ind w:left="15" w:firstLine="0"/>
              <w:rPr>
                <w:rFonts w:ascii="Arial" w:hAnsi="Arial" w:cs="Arial"/>
              </w:rPr>
            </w:pPr>
            <w:proofErr w:type="spellStart"/>
            <w:r w:rsidRPr="000102D4">
              <w:rPr>
                <w:rFonts w:ascii="Arial" w:hAnsi="Arial" w:cs="Arial"/>
              </w:rPr>
              <w:t>Fletcher</w:t>
            </w:r>
            <w:proofErr w:type="spellEnd"/>
            <w:r w:rsidRPr="000102D4">
              <w:rPr>
                <w:rFonts w:ascii="Arial" w:hAnsi="Arial" w:cs="Arial"/>
              </w:rPr>
              <w:t xml:space="preserve"> W, </w:t>
            </w:r>
            <w:proofErr w:type="spellStart"/>
            <w:r w:rsidRPr="000102D4">
              <w:rPr>
                <w:rFonts w:ascii="Arial" w:hAnsi="Arial" w:cs="Arial"/>
              </w:rPr>
              <w:t>Fletcher</w:t>
            </w:r>
            <w:proofErr w:type="spellEnd"/>
            <w:r w:rsidRPr="000102D4">
              <w:rPr>
                <w:rFonts w:ascii="Arial" w:hAnsi="Arial" w:cs="Arial"/>
              </w:rPr>
              <w:t xml:space="preserve"> SW. </w:t>
            </w:r>
            <w:proofErr w:type="spellStart"/>
            <w:r w:rsidRPr="000102D4">
              <w:rPr>
                <w:rFonts w:ascii="Arial" w:hAnsi="Arial" w:cs="Arial"/>
              </w:rPr>
              <w:t>Clinical</w:t>
            </w:r>
            <w:proofErr w:type="spellEnd"/>
            <w:r w:rsidRPr="000102D4">
              <w:rPr>
                <w:rFonts w:ascii="Arial" w:hAnsi="Arial" w:cs="Arial"/>
              </w:rPr>
              <w:t xml:space="preserve"> </w:t>
            </w:r>
            <w:proofErr w:type="spellStart"/>
            <w:r w:rsidRPr="000102D4">
              <w:rPr>
                <w:rFonts w:ascii="Arial" w:hAnsi="Arial" w:cs="Arial"/>
              </w:rPr>
              <w:t>epidemiology</w:t>
            </w:r>
            <w:proofErr w:type="spellEnd"/>
            <w:r w:rsidRPr="000102D4">
              <w:rPr>
                <w:rFonts w:ascii="Arial" w:hAnsi="Arial" w:cs="Arial"/>
              </w:rPr>
              <w:t xml:space="preserve">: </w:t>
            </w:r>
            <w:proofErr w:type="spellStart"/>
            <w:r w:rsidRPr="000102D4">
              <w:rPr>
                <w:rFonts w:ascii="Arial" w:hAnsi="Arial" w:cs="Arial"/>
              </w:rPr>
              <w:t>The</w:t>
            </w:r>
            <w:proofErr w:type="spellEnd"/>
            <w:r w:rsidRPr="000102D4">
              <w:rPr>
                <w:rFonts w:ascii="Arial" w:hAnsi="Arial" w:cs="Arial"/>
              </w:rPr>
              <w:t xml:space="preserve"> </w:t>
            </w:r>
            <w:proofErr w:type="spellStart"/>
            <w:r w:rsidRPr="000102D4">
              <w:rPr>
                <w:rFonts w:ascii="Arial" w:hAnsi="Arial" w:cs="Arial"/>
              </w:rPr>
              <w:t>essentials</w:t>
            </w:r>
            <w:proofErr w:type="spellEnd"/>
            <w:r w:rsidRPr="000102D4">
              <w:rPr>
                <w:rFonts w:ascii="Arial" w:hAnsi="Arial" w:cs="Arial"/>
              </w:rPr>
              <w:t xml:space="preserve">, 4th </w:t>
            </w:r>
            <w:proofErr w:type="spellStart"/>
            <w:r w:rsidRPr="000102D4">
              <w:rPr>
                <w:rFonts w:ascii="Arial" w:hAnsi="Arial" w:cs="Arial"/>
              </w:rPr>
              <w:t>edition</w:t>
            </w:r>
            <w:proofErr w:type="spellEnd"/>
            <w:r w:rsidRPr="000102D4">
              <w:rPr>
                <w:rFonts w:ascii="Arial" w:hAnsi="Arial" w:cs="Arial"/>
              </w:rPr>
              <w:t xml:space="preserve">. </w:t>
            </w:r>
            <w:proofErr w:type="spellStart"/>
            <w:r w:rsidRPr="000102D4">
              <w:rPr>
                <w:rFonts w:ascii="Arial" w:hAnsi="Arial" w:cs="Arial"/>
              </w:rPr>
              <w:t>Lippincot</w:t>
            </w:r>
            <w:proofErr w:type="spellEnd"/>
            <w:r w:rsidRPr="000102D4">
              <w:rPr>
                <w:rFonts w:ascii="Arial" w:hAnsi="Arial" w:cs="Arial"/>
              </w:rPr>
              <w:t xml:space="preserve"> Williams </w:t>
            </w:r>
            <w:proofErr w:type="spellStart"/>
            <w:r w:rsidRPr="000102D4">
              <w:rPr>
                <w:rFonts w:ascii="Arial" w:hAnsi="Arial" w:cs="Arial"/>
              </w:rPr>
              <w:t>and</w:t>
            </w:r>
            <w:proofErr w:type="spellEnd"/>
            <w:r w:rsidRPr="000102D4">
              <w:rPr>
                <w:rFonts w:ascii="Arial" w:hAnsi="Arial" w:cs="Arial"/>
              </w:rPr>
              <w:t xml:space="preserve"> </w:t>
            </w:r>
            <w:proofErr w:type="spellStart"/>
            <w:r w:rsidRPr="000102D4">
              <w:rPr>
                <w:rFonts w:ascii="Arial" w:hAnsi="Arial" w:cs="Arial"/>
              </w:rPr>
              <w:t>Wilkins</w:t>
            </w:r>
            <w:proofErr w:type="spellEnd"/>
            <w:r w:rsidRPr="000102D4">
              <w:rPr>
                <w:rFonts w:ascii="Arial" w:hAnsi="Arial" w:cs="Arial"/>
              </w:rPr>
              <w:t>, 2005.</w:t>
            </w:r>
          </w:p>
          <w:p w:rsidR="00DC77DB" w:rsidRPr="000102D4" w:rsidRDefault="00DC77DB" w:rsidP="00EB57CB">
            <w:pPr>
              <w:numPr>
                <w:ilvl w:val="0"/>
                <w:numId w:val="7"/>
              </w:numPr>
              <w:tabs>
                <w:tab w:val="clear" w:pos="720"/>
                <w:tab w:val="num" w:pos="299"/>
              </w:tabs>
              <w:spacing w:after="0" w:line="240" w:lineRule="auto"/>
              <w:ind w:left="15" w:firstLine="0"/>
              <w:rPr>
                <w:rFonts w:ascii="Arial" w:hAnsi="Arial" w:cs="Arial"/>
              </w:rPr>
            </w:pPr>
            <w:proofErr w:type="spellStart"/>
            <w:r w:rsidRPr="000102D4">
              <w:rPr>
                <w:rFonts w:ascii="Arial" w:hAnsi="Arial" w:cs="Arial"/>
              </w:rPr>
              <w:t>Sackett</w:t>
            </w:r>
            <w:proofErr w:type="spellEnd"/>
            <w:r w:rsidRPr="000102D4">
              <w:rPr>
                <w:rFonts w:ascii="Arial" w:hAnsi="Arial" w:cs="Arial"/>
              </w:rPr>
              <w:t xml:space="preserve"> DL, </w:t>
            </w:r>
            <w:proofErr w:type="spellStart"/>
            <w:r w:rsidRPr="000102D4">
              <w:rPr>
                <w:rFonts w:ascii="Arial" w:hAnsi="Arial" w:cs="Arial"/>
              </w:rPr>
              <w:t>Haynes</w:t>
            </w:r>
            <w:proofErr w:type="spellEnd"/>
            <w:r w:rsidRPr="000102D4">
              <w:rPr>
                <w:rFonts w:ascii="Arial" w:hAnsi="Arial" w:cs="Arial"/>
              </w:rPr>
              <w:t xml:space="preserve"> RB, </w:t>
            </w:r>
            <w:proofErr w:type="spellStart"/>
            <w:r w:rsidRPr="000102D4">
              <w:rPr>
                <w:rFonts w:ascii="Arial" w:hAnsi="Arial" w:cs="Arial"/>
              </w:rPr>
              <w:t>Guyatt</w:t>
            </w:r>
            <w:proofErr w:type="spellEnd"/>
            <w:r w:rsidRPr="000102D4">
              <w:rPr>
                <w:rFonts w:ascii="Arial" w:hAnsi="Arial" w:cs="Arial"/>
              </w:rPr>
              <w:t xml:space="preserve"> GH, </w:t>
            </w:r>
            <w:proofErr w:type="spellStart"/>
            <w:r w:rsidRPr="000102D4">
              <w:rPr>
                <w:rFonts w:ascii="Arial" w:hAnsi="Arial" w:cs="Arial"/>
              </w:rPr>
              <w:t>Tugwell</w:t>
            </w:r>
            <w:proofErr w:type="spellEnd"/>
            <w:r w:rsidRPr="000102D4">
              <w:rPr>
                <w:rFonts w:ascii="Arial" w:hAnsi="Arial" w:cs="Arial"/>
              </w:rPr>
              <w:t xml:space="preserve"> P. </w:t>
            </w:r>
            <w:proofErr w:type="spellStart"/>
            <w:r w:rsidRPr="000102D4">
              <w:rPr>
                <w:rFonts w:ascii="Arial" w:hAnsi="Arial" w:cs="Arial"/>
              </w:rPr>
              <w:t>Clinical</w:t>
            </w:r>
            <w:proofErr w:type="spellEnd"/>
            <w:r w:rsidRPr="000102D4">
              <w:rPr>
                <w:rFonts w:ascii="Arial" w:hAnsi="Arial" w:cs="Arial"/>
              </w:rPr>
              <w:t xml:space="preserve"> </w:t>
            </w:r>
            <w:proofErr w:type="spellStart"/>
            <w:r w:rsidRPr="000102D4">
              <w:rPr>
                <w:rFonts w:ascii="Arial" w:hAnsi="Arial" w:cs="Arial"/>
              </w:rPr>
              <w:t>epidemiology</w:t>
            </w:r>
            <w:proofErr w:type="spellEnd"/>
            <w:r w:rsidRPr="000102D4">
              <w:rPr>
                <w:rFonts w:ascii="Arial" w:hAnsi="Arial" w:cs="Arial"/>
              </w:rPr>
              <w:t xml:space="preserve">. A </w:t>
            </w:r>
            <w:proofErr w:type="spellStart"/>
            <w:r w:rsidRPr="000102D4">
              <w:rPr>
                <w:rFonts w:ascii="Arial" w:hAnsi="Arial" w:cs="Arial"/>
              </w:rPr>
              <w:t>basic</w:t>
            </w:r>
            <w:proofErr w:type="spellEnd"/>
            <w:r w:rsidRPr="000102D4">
              <w:rPr>
                <w:rFonts w:ascii="Arial" w:hAnsi="Arial" w:cs="Arial"/>
              </w:rPr>
              <w:t xml:space="preserve"> </w:t>
            </w:r>
            <w:proofErr w:type="spellStart"/>
            <w:r w:rsidRPr="000102D4">
              <w:rPr>
                <w:rFonts w:ascii="Arial" w:hAnsi="Arial" w:cs="Arial"/>
              </w:rPr>
              <w:t>science</w:t>
            </w:r>
            <w:proofErr w:type="spellEnd"/>
            <w:r w:rsidRPr="000102D4">
              <w:rPr>
                <w:rFonts w:ascii="Arial" w:hAnsi="Arial" w:cs="Arial"/>
              </w:rPr>
              <w:t xml:space="preserve"> for </w:t>
            </w:r>
            <w:proofErr w:type="spellStart"/>
            <w:r w:rsidRPr="000102D4">
              <w:rPr>
                <w:rFonts w:ascii="Arial" w:hAnsi="Arial" w:cs="Arial"/>
              </w:rPr>
              <w:t>clinical</w:t>
            </w:r>
            <w:proofErr w:type="spellEnd"/>
            <w:r w:rsidRPr="000102D4">
              <w:rPr>
                <w:rFonts w:ascii="Arial" w:hAnsi="Arial" w:cs="Arial"/>
              </w:rPr>
              <w:t xml:space="preserve"> medicine. Boston; </w:t>
            </w:r>
            <w:proofErr w:type="spellStart"/>
            <w:r w:rsidRPr="000102D4">
              <w:rPr>
                <w:rFonts w:ascii="Arial" w:hAnsi="Arial" w:cs="Arial"/>
              </w:rPr>
              <w:t>Little</w:t>
            </w:r>
            <w:proofErr w:type="spellEnd"/>
            <w:r w:rsidRPr="000102D4">
              <w:rPr>
                <w:rFonts w:ascii="Arial" w:hAnsi="Arial" w:cs="Arial"/>
              </w:rPr>
              <w:t xml:space="preserve">, Brown </w:t>
            </w:r>
            <w:proofErr w:type="spellStart"/>
            <w:r w:rsidRPr="000102D4">
              <w:rPr>
                <w:rFonts w:ascii="Arial" w:hAnsi="Arial" w:cs="Arial"/>
              </w:rPr>
              <w:t>and</w:t>
            </w:r>
            <w:proofErr w:type="spellEnd"/>
            <w:r w:rsidRPr="000102D4">
              <w:rPr>
                <w:rFonts w:ascii="Arial" w:hAnsi="Arial" w:cs="Arial"/>
              </w:rPr>
              <w:t xml:space="preserve"> Company, 1991.</w:t>
            </w:r>
          </w:p>
          <w:p w:rsidR="00DC77DB" w:rsidRPr="000102D4" w:rsidRDefault="00DC77DB" w:rsidP="00EB57CB">
            <w:pPr>
              <w:numPr>
                <w:ilvl w:val="0"/>
                <w:numId w:val="7"/>
              </w:numPr>
              <w:tabs>
                <w:tab w:val="clear" w:pos="720"/>
                <w:tab w:val="num" w:pos="299"/>
              </w:tabs>
              <w:spacing w:after="0" w:line="240" w:lineRule="auto"/>
              <w:ind w:left="15" w:firstLine="0"/>
              <w:rPr>
                <w:rFonts w:ascii="Arial" w:hAnsi="Arial" w:cs="Arial"/>
              </w:rPr>
            </w:pPr>
            <w:proofErr w:type="spellStart"/>
            <w:r w:rsidRPr="000102D4">
              <w:rPr>
                <w:rFonts w:ascii="Arial" w:hAnsi="Arial" w:cs="Arial"/>
              </w:rPr>
              <w:t>Haynes</w:t>
            </w:r>
            <w:proofErr w:type="spellEnd"/>
            <w:r w:rsidRPr="000102D4">
              <w:rPr>
                <w:rFonts w:ascii="Arial" w:hAnsi="Arial" w:cs="Arial"/>
              </w:rPr>
              <w:t xml:space="preserve"> RB, </w:t>
            </w:r>
            <w:proofErr w:type="spellStart"/>
            <w:r w:rsidRPr="000102D4">
              <w:rPr>
                <w:rFonts w:ascii="Arial" w:hAnsi="Arial" w:cs="Arial"/>
              </w:rPr>
              <w:t>Sackett</w:t>
            </w:r>
            <w:proofErr w:type="spellEnd"/>
            <w:r w:rsidRPr="000102D4">
              <w:rPr>
                <w:rFonts w:ascii="Arial" w:hAnsi="Arial" w:cs="Arial"/>
              </w:rPr>
              <w:t xml:space="preserve"> DL, </w:t>
            </w:r>
            <w:proofErr w:type="spellStart"/>
            <w:r w:rsidRPr="000102D4">
              <w:rPr>
                <w:rFonts w:ascii="Arial" w:hAnsi="Arial" w:cs="Arial"/>
              </w:rPr>
              <w:t>Guyatt</w:t>
            </w:r>
            <w:proofErr w:type="spellEnd"/>
            <w:r w:rsidRPr="000102D4">
              <w:rPr>
                <w:rFonts w:ascii="Arial" w:hAnsi="Arial" w:cs="Arial"/>
              </w:rPr>
              <w:t xml:space="preserve"> GH, </w:t>
            </w:r>
            <w:proofErr w:type="spellStart"/>
            <w:r w:rsidRPr="000102D4">
              <w:rPr>
                <w:rFonts w:ascii="Arial" w:hAnsi="Arial" w:cs="Arial"/>
              </w:rPr>
              <w:t>Tugwell</w:t>
            </w:r>
            <w:proofErr w:type="spellEnd"/>
            <w:r w:rsidRPr="000102D4">
              <w:rPr>
                <w:rFonts w:ascii="Arial" w:hAnsi="Arial" w:cs="Arial"/>
              </w:rPr>
              <w:t xml:space="preserve"> P, </w:t>
            </w:r>
            <w:proofErr w:type="spellStart"/>
            <w:r w:rsidRPr="000102D4">
              <w:rPr>
                <w:rFonts w:ascii="Arial" w:hAnsi="Arial" w:cs="Arial"/>
              </w:rPr>
              <w:t>Clinical</w:t>
            </w:r>
            <w:proofErr w:type="spellEnd"/>
            <w:r w:rsidRPr="000102D4">
              <w:rPr>
                <w:rFonts w:ascii="Arial" w:hAnsi="Arial" w:cs="Arial"/>
              </w:rPr>
              <w:t xml:space="preserve"> </w:t>
            </w:r>
            <w:proofErr w:type="spellStart"/>
            <w:r w:rsidRPr="000102D4">
              <w:rPr>
                <w:rFonts w:ascii="Arial" w:hAnsi="Arial" w:cs="Arial"/>
              </w:rPr>
              <w:t>epidemiology</w:t>
            </w:r>
            <w:proofErr w:type="spellEnd"/>
            <w:r w:rsidRPr="000102D4">
              <w:rPr>
                <w:rFonts w:ascii="Arial" w:hAnsi="Arial" w:cs="Arial"/>
              </w:rPr>
              <w:t xml:space="preserve">, </w:t>
            </w:r>
            <w:proofErr w:type="spellStart"/>
            <w:r w:rsidRPr="000102D4">
              <w:rPr>
                <w:rFonts w:ascii="Arial" w:hAnsi="Arial" w:cs="Arial"/>
              </w:rPr>
              <w:t>Lippincott</w:t>
            </w:r>
            <w:proofErr w:type="spellEnd"/>
            <w:r w:rsidRPr="000102D4">
              <w:rPr>
                <w:rFonts w:ascii="Arial" w:hAnsi="Arial" w:cs="Arial"/>
              </w:rPr>
              <w:t xml:space="preserve"> Philadelphia, 2006.</w:t>
            </w:r>
          </w:p>
          <w:p w:rsidR="00DC77DB" w:rsidRPr="000102D4" w:rsidRDefault="00DC77DB" w:rsidP="00EB57CB">
            <w:pPr>
              <w:numPr>
                <w:ilvl w:val="0"/>
                <w:numId w:val="7"/>
              </w:numPr>
              <w:tabs>
                <w:tab w:val="clear" w:pos="720"/>
                <w:tab w:val="num" w:pos="299"/>
              </w:tabs>
              <w:spacing w:after="0" w:line="240" w:lineRule="auto"/>
              <w:ind w:left="15" w:firstLine="0"/>
              <w:rPr>
                <w:rFonts w:ascii="Arial" w:hAnsi="Arial" w:cs="Arial"/>
              </w:rPr>
            </w:pPr>
            <w:proofErr w:type="spellStart"/>
            <w:r w:rsidRPr="000102D4">
              <w:rPr>
                <w:rFonts w:ascii="Arial" w:hAnsi="Arial" w:cs="Arial"/>
              </w:rPr>
              <w:lastRenderedPageBreak/>
              <w:t>Kolčić</w:t>
            </w:r>
            <w:proofErr w:type="spellEnd"/>
            <w:r w:rsidRPr="000102D4">
              <w:rPr>
                <w:rFonts w:ascii="Arial" w:hAnsi="Arial" w:cs="Arial"/>
              </w:rPr>
              <w:t xml:space="preserve"> I, </w:t>
            </w:r>
            <w:proofErr w:type="spellStart"/>
            <w:r w:rsidRPr="000102D4">
              <w:rPr>
                <w:rFonts w:ascii="Arial" w:hAnsi="Arial" w:cs="Arial"/>
              </w:rPr>
              <w:t>Vorko</w:t>
            </w:r>
            <w:proofErr w:type="spellEnd"/>
            <w:r w:rsidRPr="000102D4">
              <w:rPr>
                <w:rFonts w:ascii="Arial" w:hAnsi="Arial" w:cs="Arial"/>
              </w:rPr>
              <w:t xml:space="preserve"> Jović A (</w:t>
            </w:r>
            <w:proofErr w:type="spellStart"/>
            <w:r w:rsidRPr="000102D4">
              <w:rPr>
                <w:rFonts w:ascii="Arial" w:hAnsi="Arial" w:cs="Arial"/>
              </w:rPr>
              <w:t>ur</w:t>
            </w:r>
            <w:proofErr w:type="spellEnd"/>
            <w:r w:rsidRPr="000102D4">
              <w:rPr>
                <w:rFonts w:ascii="Arial" w:hAnsi="Arial" w:cs="Arial"/>
              </w:rPr>
              <w:t xml:space="preserve">). Epidemiologija. Medicinska naklada, Zagreb, 2012. </w:t>
            </w:r>
          </w:p>
          <w:p w:rsidR="00C03C97" w:rsidRPr="000102D4" w:rsidRDefault="00DC77DB" w:rsidP="00EB57CB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299"/>
                <w:tab w:val="left" w:pos="2820"/>
              </w:tabs>
              <w:spacing w:after="0"/>
              <w:ind w:left="15" w:firstLine="0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Marušić M i sur. Uvod u znanstveni rad u medicini</w:t>
            </w:r>
            <w:r w:rsidRPr="000102D4" w:rsidDel="00BD5A39">
              <w:rPr>
                <w:rFonts w:ascii="Arial" w:hAnsi="Arial" w:cs="Arial"/>
              </w:rPr>
              <w:t>,</w:t>
            </w:r>
            <w:r w:rsidRPr="000102D4">
              <w:rPr>
                <w:rFonts w:ascii="Arial" w:hAnsi="Arial" w:cs="Arial"/>
              </w:rPr>
              <w:t xml:space="preserve"> Zagreb</w:t>
            </w:r>
            <w:r w:rsidRPr="000102D4" w:rsidDel="00BD5A39">
              <w:rPr>
                <w:rFonts w:ascii="Arial" w:hAnsi="Arial" w:cs="Arial"/>
              </w:rPr>
              <w:t>,</w:t>
            </w:r>
            <w:r w:rsidRPr="000102D4">
              <w:rPr>
                <w:rFonts w:ascii="Arial" w:hAnsi="Arial" w:cs="Arial"/>
              </w:rPr>
              <w:t xml:space="preserve"> Medicinska naklada, 2008, poglavlja 4, 5, 6, 7.</w:t>
            </w:r>
          </w:p>
        </w:tc>
      </w:tr>
      <w:tr w:rsidR="00C03C97" w:rsidRPr="00CC10B2" w:rsidTr="001E3053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102D4">
              <w:rPr>
                <w:rFonts w:ascii="Arial" w:hAnsi="Arial" w:cs="Arial"/>
                <w:color w:val="000000"/>
              </w:rPr>
              <w:lastRenderedPageBreak/>
              <w:t>Načini praćenja kvalitete koji osiguravaju 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03C97" w:rsidRPr="000102D4" w:rsidRDefault="00C03C97" w:rsidP="00C03C97">
            <w:pPr>
              <w:spacing w:after="0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C03C97" w:rsidRPr="000102D4" w:rsidRDefault="00C03C97" w:rsidP="00C03C97">
            <w:pPr>
              <w:spacing w:after="0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 xml:space="preserve">-Analiza prolaznosti na ispitima, </w:t>
            </w:r>
          </w:p>
          <w:p w:rsidR="00C03C97" w:rsidRPr="000102D4" w:rsidRDefault="00C03C97" w:rsidP="00C03C97">
            <w:pPr>
              <w:spacing w:after="0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C03C97" w:rsidRPr="000102D4" w:rsidRDefault="00C03C97" w:rsidP="00C03C9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t>-</w:t>
            </w:r>
            <w:proofErr w:type="spellStart"/>
            <w:r w:rsidRPr="000102D4">
              <w:rPr>
                <w:rFonts w:ascii="Arial" w:hAnsi="Arial" w:cs="Arial"/>
              </w:rPr>
              <w:t>Izvaninstitucijska</w:t>
            </w:r>
            <w:proofErr w:type="spellEnd"/>
            <w:r w:rsidRPr="000102D4">
              <w:rPr>
                <w:rFonts w:ascii="Arial" w:hAnsi="Arial" w:cs="Arial"/>
              </w:rPr>
              <w:t xml:space="preserve"> evaluacija (posjet timova za kontrolu kvalitete Nacionalne agencije za kontrolu kvalitete, uključenje u TEEP).</w:t>
            </w:r>
          </w:p>
        </w:tc>
      </w:tr>
      <w:tr w:rsidR="00C03C97" w:rsidRPr="00CC10B2" w:rsidTr="001E3053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03C97" w:rsidRPr="000102D4" w:rsidRDefault="00C03C97" w:rsidP="00C03C9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102D4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03C97" w:rsidRPr="000102D4" w:rsidRDefault="00C03C97" w:rsidP="00C03C9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0102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2D4">
              <w:rPr>
                <w:rFonts w:ascii="Arial" w:hAnsi="Arial" w:cs="Arial"/>
              </w:rPr>
              <w:instrText xml:space="preserve"> FORMTEXT </w:instrText>
            </w:r>
            <w:r w:rsidRPr="000102D4">
              <w:rPr>
                <w:rFonts w:ascii="Arial" w:hAnsi="Arial" w:cs="Arial"/>
              </w:rPr>
            </w:r>
            <w:r w:rsidRPr="000102D4">
              <w:rPr>
                <w:rFonts w:ascii="Arial" w:hAnsi="Arial" w:cs="Arial"/>
              </w:rPr>
              <w:fldChar w:fldCharType="separate"/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  <w:noProof/>
              </w:rPr>
              <w:t> </w:t>
            </w:r>
            <w:r w:rsidRPr="000102D4">
              <w:rPr>
                <w:rFonts w:ascii="Arial" w:hAnsi="Arial" w:cs="Arial"/>
              </w:rPr>
              <w:fldChar w:fldCharType="end"/>
            </w:r>
          </w:p>
        </w:tc>
      </w:tr>
    </w:tbl>
    <w:p w:rsidR="00294A89" w:rsidRPr="00CC10B2" w:rsidRDefault="00294A89" w:rsidP="00294A89">
      <w:pPr>
        <w:spacing w:after="0" w:line="240" w:lineRule="auto"/>
        <w:rPr>
          <w:rFonts w:ascii="Arial" w:hAnsi="Arial" w:cs="Arial"/>
          <w:lang w:val="en-US"/>
        </w:rPr>
      </w:pPr>
    </w:p>
    <w:p w:rsidR="00294A89" w:rsidRPr="00CC10B2" w:rsidRDefault="00294A89" w:rsidP="00294A89">
      <w:pPr>
        <w:spacing w:after="0" w:line="240" w:lineRule="auto"/>
        <w:rPr>
          <w:rFonts w:ascii="Arial" w:hAnsi="Arial" w:cs="Arial"/>
          <w:lang w:val="en-US"/>
        </w:rPr>
      </w:pPr>
    </w:p>
    <w:p w:rsidR="00294A89" w:rsidRPr="00CC10B2" w:rsidRDefault="00294A89" w:rsidP="00294A89">
      <w:pPr>
        <w:spacing w:after="0" w:line="240" w:lineRule="auto"/>
        <w:rPr>
          <w:rFonts w:ascii="Arial" w:hAnsi="Arial" w:cs="Arial"/>
          <w:lang w:val="en-US"/>
        </w:rPr>
      </w:pPr>
    </w:p>
    <w:p w:rsidR="00294A89" w:rsidRPr="00CC10B2" w:rsidRDefault="00294A89" w:rsidP="00294A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CC10B2" w:rsidTr="001E3053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CC10B2" w:rsidRDefault="00294A89" w:rsidP="001E305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CC10B2" w:rsidRDefault="00123A05" w:rsidP="00123A05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Clinical epidemiology and Evidence Based Medicine</w:t>
            </w:r>
          </w:p>
        </w:tc>
      </w:tr>
      <w:tr w:rsidR="00294A89" w:rsidRPr="00CC10B2" w:rsidTr="001E3053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C10B2" w:rsidRDefault="00294A89" w:rsidP="001E305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CC10B2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CC10B2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C10B2" w:rsidRDefault="00294A89" w:rsidP="001E30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CC10B2" w:rsidRDefault="00123A05" w:rsidP="00123A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6th</w:t>
            </w:r>
          </w:p>
        </w:tc>
      </w:tr>
      <w:tr w:rsidR="00CC10B2" w:rsidRPr="00CC10B2" w:rsidTr="001E3053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C10B2" w:rsidRPr="00CC10B2" w:rsidRDefault="005D0B4E" w:rsidP="00CC10B2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>. Prof.</w:t>
            </w:r>
            <w:r w:rsidRPr="000102D4">
              <w:rPr>
                <w:rFonts w:ascii="Arial" w:hAnsi="Arial" w:cs="Arial"/>
              </w:rPr>
              <w:t xml:space="preserve"> Ivana </w:t>
            </w:r>
            <w:proofErr w:type="spellStart"/>
            <w:r w:rsidRPr="000102D4">
              <w:rPr>
                <w:rFonts w:ascii="Arial" w:hAnsi="Arial" w:cs="Arial"/>
              </w:rPr>
              <w:t>Kolčić</w:t>
            </w:r>
            <w:proofErr w:type="spellEnd"/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C10B2" w:rsidRPr="00CC10B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CC10B2" w:rsidRPr="00CC10B2" w:rsidTr="001E3053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C10B2" w:rsidRPr="00CC10B2" w:rsidRDefault="005D0B4E" w:rsidP="008D70A4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="Arial" w:hAnsi="Arial" w:cs="Arial"/>
              </w:rPr>
              <w:t>P</w:t>
            </w:r>
            <w:r w:rsidR="008D70A4">
              <w:rPr>
                <w:rFonts w:ascii="Arial" w:hAnsi="Arial" w:cs="Arial"/>
              </w:rPr>
              <w:t>rof. Zoran Đogaš, P</w:t>
            </w:r>
            <w:r w:rsidRPr="000102D4">
              <w:rPr>
                <w:rFonts w:ascii="Arial" w:hAnsi="Arial" w:cs="Arial"/>
              </w:rPr>
              <w:t xml:space="preserve">rof. Ozren </w:t>
            </w:r>
            <w:proofErr w:type="spellStart"/>
            <w:r w:rsidRPr="000102D4">
              <w:rPr>
                <w:rFonts w:ascii="Arial" w:hAnsi="Arial" w:cs="Arial"/>
              </w:rPr>
              <w:t>Polašek</w:t>
            </w:r>
            <w:proofErr w:type="spellEnd"/>
            <w:r w:rsidRPr="000102D4">
              <w:rPr>
                <w:rFonts w:ascii="Arial" w:hAnsi="Arial" w:cs="Arial"/>
              </w:rPr>
              <w:t xml:space="preserve">, </w:t>
            </w:r>
            <w:proofErr w:type="spellStart"/>
            <w:r w:rsidR="002D1CB6">
              <w:rPr>
                <w:rFonts w:ascii="Arial" w:hAnsi="Arial" w:cs="Arial"/>
              </w:rPr>
              <w:t>Assist</w:t>
            </w:r>
            <w:proofErr w:type="spellEnd"/>
            <w:r w:rsidR="002D1CB6">
              <w:rPr>
                <w:rFonts w:ascii="Arial" w:hAnsi="Arial" w:cs="Arial"/>
              </w:rPr>
              <w:t>. P</w:t>
            </w:r>
            <w:r w:rsidR="008D70A4">
              <w:rPr>
                <w:rFonts w:ascii="Arial" w:hAnsi="Arial" w:cs="Arial"/>
              </w:rPr>
              <w:t>rof.</w:t>
            </w:r>
            <w:r w:rsidRPr="000102D4">
              <w:rPr>
                <w:rFonts w:ascii="Arial" w:hAnsi="Arial" w:cs="Arial"/>
              </w:rPr>
              <w:t xml:space="preserve"> Daniela Marasović Krstulović, Zrinka Jurišić, </w:t>
            </w:r>
            <w:r w:rsidR="008D70A4">
              <w:rPr>
                <w:rFonts w:ascii="Arial" w:hAnsi="Arial" w:cs="Arial"/>
              </w:rPr>
              <w:t xml:space="preserve">MD, </w:t>
            </w:r>
            <w:proofErr w:type="spellStart"/>
            <w:r w:rsidR="008D70A4">
              <w:rPr>
                <w:rFonts w:ascii="Arial" w:hAnsi="Arial" w:cs="Arial"/>
              </w:rPr>
              <w:t>PhD</w:t>
            </w:r>
            <w:proofErr w:type="spellEnd"/>
            <w:r w:rsidR="008D70A4">
              <w:rPr>
                <w:rFonts w:ascii="Arial" w:hAnsi="Arial" w:cs="Arial"/>
              </w:rPr>
              <w:t>,</w:t>
            </w:r>
            <w:r w:rsidRPr="000102D4">
              <w:rPr>
                <w:rFonts w:ascii="Arial" w:hAnsi="Arial" w:cs="Arial"/>
              </w:rPr>
              <w:t xml:space="preserve"> </w:t>
            </w:r>
            <w:proofErr w:type="spellStart"/>
            <w:r w:rsidR="008D70A4">
              <w:rPr>
                <w:rFonts w:ascii="Arial" w:hAnsi="Arial" w:cs="Arial"/>
              </w:rPr>
              <w:t>Assist</w:t>
            </w:r>
            <w:proofErr w:type="spellEnd"/>
            <w:r w:rsidR="008D70A4">
              <w:rPr>
                <w:rFonts w:ascii="Arial" w:hAnsi="Arial" w:cs="Arial"/>
              </w:rPr>
              <w:t>. prof.</w:t>
            </w:r>
            <w:r w:rsidR="008D70A4" w:rsidRPr="000102D4">
              <w:rPr>
                <w:rFonts w:ascii="Arial" w:hAnsi="Arial" w:cs="Arial"/>
              </w:rPr>
              <w:t xml:space="preserve"> </w:t>
            </w:r>
            <w:r w:rsidRPr="000102D4">
              <w:rPr>
                <w:rFonts w:ascii="Arial" w:hAnsi="Arial" w:cs="Arial"/>
              </w:rPr>
              <w:t>Nataša Boban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10B2" w:rsidRPr="00CC10B2" w:rsidRDefault="00CC10B2" w:rsidP="00CC10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10B2" w:rsidRPr="00CC10B2" w:rsidRDefault="00CC10B2" w:rsidP="00CC10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10B2" w:rsidRPr="00CC10B2" w:rsidRDefault="00CC10B2" w:rsidP="00CC10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CC10B2" w:rsidRPr="00CC10B2" w:rsidTr="001E3053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C10B2" w:rsidRPr="00CC10B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CC10B2" w:rsidRDefault="00750890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10B2" w:rsidRPr="00CC10B2" w:rsidRDefault="00750890" w:rsidP="007508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10B2" w:rsidRPr="00CC10B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10B2" w:rsidRPr="00CC10B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CC10B2" w:rsidRPr="00CC10B2" w:rsidTr="001E3053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C10B2" w:rsidRPr="00CC10B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C10B2" w:rsidRPr="00CC10B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</w:tr>
      <w:tr w:rsidR="00CC10B2" w:rsidRPr="00CC10B2" w:rsidTr="001E3053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CC10B2" w:rsidRPr="00CC10B2" w:rsidTr="001E3053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C10B2" w:rsidRPr="00CC10B2" w:rsidRDefault="00860E01" w:rsidP="002D1CB6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E01">
              <w:rPr>
                <w:rFonts w:ascii="Arial" w:hAnsi="Arial" w:cs="Arial"/>
                <w:sz w:val="20"/>
                <w:szCs w:val="20"/>
                <w:lang w:val="en-US"/>
              </w:rPr>
              <w:t xml:space="preserve">Knowledge </w:t>
            </w:r>
            <w:r w:rsidR="002D1CB6">
              <w:rPr>
                <w:rFonts w:ascii="Arial" w:hAnsi="Arial" w:cs="Arial"/>
                <w:sz w:val="20"/>
                <w:szCs w:val="20"/>
                <w:lang w:val="en-US"/>
              </w:rPr>
              <w:t>about the</w:t>
            </w:r>
            <w:r w:rsidRPr="00860E01">
              <w:rPr>
                <w:rFonts w:ascii="Arial" w:hAnsi="Arial" w:cs="Arial"/>
                <w:sz w:val="20"/>
                <w:szCs w:val="20"/>
                <w:lang w:val="en-US"/>
              </w:rPr>
              <w:t xml:space="preserve"> types of clinical trials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basic </w:t>
            </w:r>
            <w:r w:rsidRPr="00860E01">
              <w:rPr>
                <w:rFonts w:ascii="Arial" w:hAnsi="Arial" w:cs="Arial"/>
                <w:sz w:val="20"/>
                <w:szCs w:val="20"/>
                <w:lang w:val="en-US"/>
              </w:rPr>
              <w:t>statistical methods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CC10B2" w:rsidRPr="00CC10B2" w:rsidTr="001E3053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15D94" w:rsidRPr="00095F3A" w:rsidRDefault="00415D94" w:rsidP="00415D94">
            <w:pPr>
              <w:tabs>
                <w:tab w:val="left" w:pos="356"/>
              </w:tabs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  <w:r w:rsidRPr="00095F3A">
              <w:rPr>
                <w:rFonts w:asciiTheme="minorHAnsi" w:hAnsiTheme="minorHAnsi" w:cs="Arial"/>
                <w:sz w:val="20"/>
                <w:lang w:val="en-US"/>
              </w:rPr>
              <w:t xml:space="preserve">General: </w:t>
            </w:r>
            <w:r w:rsidR="002D1CB6" w:rsidRPr="00095F3A">
              <w:rPr>
                <w:rFonts w:asciiTheme="minorHAnsi" w:hAnsiTheme="minorHAnsi" w:cs="Arial"/>
                <w:sz w:val="20"/>
                <w:lang w:val="en-US"/>
              </w:rPr>
              <w:t xml:space="preserve">familiarity with </w:t>
            </w:r>
            <w:r w:rsidR="003179AE" w:rsidRPr="00095F3A">
              <w:rPr>
                <w:rFonts w:asciiTheme="minorHAnsi" w:hAnsiTheme="minorHAnsi" w:cs="Arial"/>
                <w:sz w:val="20"/>
                <w:lang w:val="en-US"/>
              </w:rPr>
              <w:t>q</w:t>
            </w:r>
            <w:r w:rsidRPr="00095F3A">
              <w:rPr>
                <w:rFonts w:asciiTheme="minorHAnsi" w:hAnsiTheme="minorHAnsi" w:cs="Arial"/>
                <w:sz w:val="20"/>
                <w:lang w:val="en-US"/>
              </w:rPr>
              <w:t xml:space="preserve">uantitative </w:t>
            </w:r>
            <w:r w:rsidR="003179AE" w:rsidRPr="00095F3A">
              <w:rPr>
                <w:rFonts w:asciiTheme="minorHAnsi" w:hAnsiTheme="minorHAnsi" w:cs="Arial"/>
                <w:sz w:val="20"/>
                <w:lang w:val="en-US"/>
              </w:rPr>
              <w:t>m</w:t>
            </w:r>
            <w:r w:rsidRPr="00095F3A">
              <w:rPr>
                <w:rFonts w:asciiTheme="minorHAnsi" w:hAnsiTheme="minorHAnsi" w:cs="Arial"/>
                <w:sz w:val="20"/>
                <w:lang w:val="en-US"/>
              </w:rPr>
              <w:t xml:space="preserve">ethods </w:t>
            </w:r>
            <w:r w:rsidR="002D1CB6" w:rsidRPr="00095F3A">
              <w:rPr>
                <w:rFonts w:asciiTheme="minorHAnsi" w:hAnsiTheme="minorHAnsi" w:cs="Arial"/>
                <w:sz w:val="20"/>
                <w:lang w:val="en-US"/>
              </w:rPr>
              <w:t xml:space="preserve">used </w:t>
            </w:r>
            <w:r w:rsidRPr="00095F3A">
              <w:rPr>
                <w:rFonts w:asciiTheme="minorHAnsi" w:hAnsiTheme="minorHAnsi" w:cs="Arial"/>
                <w:sz w:val="20"/>
                <w:lang w:val="en-US"/>
              </w:rPr>
              <w:t xml:space="preserve">in </w:t>
            </w:r>
            <w:r w:rsidR="002D1CB6" w:rsidRPr="00095F3A">
              <w:rPr>
                <w:rFonts w:asciiTheme="minorHAnsi" w:hAnsiTheme="minorHAnsi" w:cs="Arial"/>
                <w:sz w:val="20"/>
                <w:lang w:val="en-US"/>
              </w:rPr>
              <w:t>c</w:t>
            </w:r>
            <w:r w:rsidRPr="00095F3A">
              <w:rPr>
                <w:rFonts w:asciiTheme="minorHAnsi" w:hAnsiTheme="minorHAnsi" w:cs="Arial"/>
                <w:sz w:val="20"/>
                <w:lang w:val="en-US"/>
              </w:rPr>
              <w:t xml:space="preserve">linical </w:t>
            </w:r>
            <w:r w:rsidR="002D1CB6" w:rsidRPr="00095F3A">
              <w:rPr>
                <w:rFonts w:asciiTheme="minorHAnsi" w:hAnsiTheme="minorHAnsi" w:cs="Arial"/>
                <w:sz w:val="20"/>
                <w:lang w:val="en-US"/>
              </w:rPr>
              <w:t>t</w:t>
            </w:r>
            <w:r w:rsidRPr="00095F3A">
              <w:rPr>
                <w:rFonts w:asciiTheme="minorHAnsi" w:hAnsiTheme="minorHAnsi" w:cs="Arial"/>
                <w:sz w:val="20"/>
                <w:lang w:val="en-US"/>
              </w:rPr>
              <w:t xml:space="preserve">rials, </w:t>
            </w:r>
            <w:r w:rsidR="002D1CB6" w:rsidRPr="00095F3A">
              <w:rPr>
                <w:rFonts w:asciiTheme="minorHAnsi" w:hAnsiTheme="minorHAnsi" w:cs="Arial"/>
                <w:sz w:val="20"/>
                <w:lang w:val="en-US"/>
              </w:rPr>
              <w:t>capability of literature search process</w:t>
            </w:r>
            <w:r w:rsidRPr="00095F3A">
              <w:rPr>
                <w:rFonts w:asciiTheme="minorHAnsi" w:hAnsiTheme="minorHAnsi" w:cs="Arial"/>
                <w:sz w:val="20"/>
                <w:lang w:val="en-US"/>
              </w:rPr>
              <w:t xml:space="preserve">, </w:t>
            </w:r>
            <w:r w:rsidR="002D1CB6" w:rsidRPr="00095F3A">
              <w:rPr>
                <w:rFonts w:asciiTheme="minorHAnsi" w:hAnsiTheme="minorHAnsi" w:cs="Arial"/>
                <w:sz w:val="20"/>
                <w:lang w:val="en-US"/>
              </w:rPr>
              <w:t>c</w:t>
            </w:r>
            <w:r w:rsidRPr="00095F3A">
              <w:rPr>
                <w:rFonts w:asciiTheme="minorHAnsi" w:hAnsiTheme="minorHAnsi" w:cs="Arial"/>
                <w:sz w:val="20"/>
                <w:lang w:val="en-US"/>
              </w:rPr>
              <w:t xml:space="preserve">ritical </w:t>
            </w:r>
            <w:r w:rsidR="002D1CB6" w:rsidRPr="00095F3A">
              <w:rPr>
                <w:rFonts w:asciiTheme="minorHAnsi" w:hAnsiTheme="minorHAnsi" w:cs="Arial"/>
                <w:sz w:val="20"/>
                <w:lang w:val="en-US"/>
              </w:rPr>
              <w:t>judgement of scientific results and applicability of new knowledge in</w:t>
            </w:r>
            <w:r w:rsidRPr="00095F3A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r w:rsidR="002D1CB6" w:rsidRPr="00095F3A">
              <w:rPr>
                <w:rFonts w:asciiTheme="minorHAnsi" w:hAnsiTheme="minorHAnsi" w:cs="Arial"/>
                <w:sz w:val="20"/>
                <w:lang w:val="en-US"/>
              </w:rPr>
              <w:t>the c</w:t>
            </w:r>
            <w:r w:rsidRPr="00095F3A">
              <w:rPr>
                <w:rFonts w:asciiTheme="minorHAnsi" w:hAnsiTheme="minorHAnsi" w:cs="Arial"/>
                <w:sz w:val="20"/>
                <w:lang w:val="en-US"/>
              </w:rPr>
              <w:t xml:space="preserve">linical </w:t>
            </w:r>
            <w:r w:rsidR="002D1CB6" w:rsidRPr="00095F3A">
              <w:rPr>
                <w:rFonts w:asciiTheme="minorHAnsi" w:hAnsiTheme="minorHAnsi" w:cs="Arial"/>
                <w:sz w:val="20"/>
                <w:lang w:val="en-US"/>
              </w:rPr>
              <w:t>practice</w:t>
            </w:r>
            <w:r w:rsidRPr="00095F3A">
              <w:rPr>
                <w:rFonts w:asciiTheme="minorHAnsi" w:hAnsiTheme="minorHAnsi" w:cs="Arial"/>
                <w:sz w:val="20"/>
                <w:lang w:val="en-US"/>
              </w:rPr>
              <w:t xml:space="preserve">, and </w:t>
            </w:r>
            <w:r w:rsidR="002D1CB6" w:rsidRPr="00095F3A">
              <w:rPr>
                <w:rFonts w:asciiTheme="minorHAnsi" w:hAnsiTheme="minorHAnsi" w:cs="Arial"/>
                <w:sz w:val="20"/>
                <w:lang w:val="en-US"/>
              </w:rPr>
              <w:t>u</w:t>
            </w:r>
            <w:r w:rsidRPr="00095F3A">
              <w:rPr>
                <w:rFonts w:asciiTheme="minorHAnsi" w:hAnsiTheme="minorHAnsi" w:cs="Arial"/>
                <w:sz w:val="20"/>
                <w:lang w:val="en-US"/>
              </w:rPr>
              <w:t xml:space="preserve">nbiased </w:t>
            </w:r>
            <w:r w:rsidR="002D1CB6" w:rsidRPr="00095F3A">
              <w:rPr>
                <w:rFonts w:asciiTheme="minorHAnsi" w:hAnsiTheme="minorHAnsi" w:cs="Arial"/>
                <w:sz w:val="20"/>
                <w:lang w:val="en-US"/>
              </w:rPr>
              <w:t>e</w:t>
            </w:r>
            <w:r w:rsidRPr="00095F3A">
              <w:rPr>
                <w:rFonts w:asciiTheme="minorHAnsi" w:hAnsiTheme="minorHAnsi" w:cs="Arial"/>
                <w:sz w:val="20"/>
                <w:lang w:val="en-US"/>
              </w:rPr>
              <w:t xml:space="preserve">valuation of </w:t>
            </w:r>
            <w:r w:rsidR="002D1CB6" w:rsidRPr="00095F3A">
              <w:rPr>
                <w:rFonts w:asciiTheme="minorHAnsi" w:hAnsiTheme="minorHAnsi" w:cs="Arial"/>
                <w:sz w:val="20"/>
                <w:lang w:val="en-US"/>
              </w:rPr>
              <w:t>c</w:t>
            </w:r>
            <w:r w:rsidRPr="00095F3A">
              <w:rPr>
                <w:rFonts w:asciiTheme="minorHAnsi" w:hAnsiTheme="minorHAnsi" w:cs="Arial"/>
                <w:sz w:val="20"/>
                <w:lang w:val="en-US"/>
              </w:rPr>
              <w:t xml:space="preserve">linical </w:t>
            </w:r>
            <w:r w:rsidR="002D1CB6" w:rsidRPr="00095F3A">
              <w:rPr>
                <w:rFonts w:asciiTheme="minorHAnsi" w:hAnsiTheme="minorHAnsi" w:cs="Arial"/>
                <w:sz w:val="20"/>
                <w:lang w:val="en-US"/>
              </w:rPr>
              <w:t>w</w:t>
            </w:r>
            <w:r w:rsidRPr="00095F3A">
              <w:rPr>
                <w:rFonts w:asciiTheme="minorHAnsi" w:hAnsiTheme="minorHAnsi" w:cs="Arial"/>
                <w:sz w:val="20"/>
                <w:lang w:val="en-US"/>
              </w:rPr>
              <w:t>ork.</w:t>
            </w:r>
          </w:p>
          <w:p w:rsidR="00CC10B2" w:rsidRPr="00CC10B2" w:rsidRDefault="00415D94" w:rsidP="00095F3A">
            <w:pPr>
              <w:tabs>
                <w:tab w:val="left" w:pos="356"/>
              </w:tabs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  <w:r w:rsidRPr="00095F3A">
              <w:rPr>
                <w:rFonts w:asciiTheme="minorHAnsi" w:hAnsiTheme="minorHAnsi" w:cs="Arial"/>
                <w:sz w:val="20"/>
                <w:lang w:val="en-US"/>
              </w:rPr>
              <w:t xml:space="preserve">Specific: </w:t>
            </w:r>
            <w:r w:rsidR="002D1CB6" w:rsidRPr="00095F3A">
              <w:rPr>
                <w:rFonts w:asciiTheme="minorHAnsi" w:hAnsiTheme="minorHAnsi" w:cs="Arial"/>
                <w:sz w:val="20"/>
                <w:lang w:val="en-US"/>
              </w:rPr>
              <w:t xml:space="preserve">knowledge of approaches to the application of quantitative methods of clinical epidemiology into clinical practice, knowledge of EBM </w:t>
            </w:r>
            <w:r w:rsidR="00095F3A" w:rsidRPr="00095F3A">
              <w:rPr>
                <w:rFonts w:asciiTheme="minorHAnsi" w:hAnsiTheme="minorHAnsi" w:cs="Arial"/>
                <w:sz w:val="20"/>
                <w:lang w:val="en-US"/>
              </w:rPr>
              <w:t>procedures</w:t>
            </w:r>
            <w:r w:rsidR="002D1CB6" w:rsidRPr="00095F3A">
              <w:rPr>
                <w:rFonts w:asciiTheme="minorHAnsi" w:hAnsiTheme="minorHAnsi" w:cs="Arial"/>
                <w:sz w:val="20"/>
                <w:lang w:val="en-US"/>
              </w:rPr>
              <w:t xml:space="preserve"> and their application in everyday work</w:t>
            </w:r>
          </w:p>
        </w:tc>
      </w:tr>
      <w:tr w:rsidR="00CC10B2" w:rsidRPr="00CC10B2" w:rsidTr="001E3053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C10B2" w:rsidRPr="00CC10B2" w:rsidRDefault="00095F3A" w:rsidP="00B377F0">
            <w:pPr>
              <w:pStyle w:val="ListParagraph"/>
              <w:tabs>
                <w:tab w:val="left" w:pos="2820"/>
              </w:tabs>
              <w:spacing w:line="240" w:lineRule="auto"/>
              <w:ind w:left="7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1. Introduction to Clinical Epidemiology: scope, principles and procedures. Differences between quantitative and qualitative data, Bayesian logic in the interpretation of clinical data (lecture, 2 hours)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>2. Principles of clinical trials: basic types of clinical trials, recruitment, monitoring and outcome. Bias in clinical trials (lecture 1 hour, seminar 1 hour)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>3. Causal Investigation: clinical trials and quantitative estimation (1 hour lecture, 2 hours seminar)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 xml:space="preserve">4. Diagnostic Methods: clinical trials and quantitative evaluation (2 hours </w:t>
            </w:r>
            <w:r>
              <w:rPr>
                <w:rFonts w:ascii="Arial" w:hAnsi="Arial" w:cs="Arial"/>
                <w:color w:val="222222"/>
                <w:lang w:val="en"/>
              </w:rPr>
              <w:lastRenderedPageBreak/>
              <w:t>lecture, 2 hours seminar)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>5. Therap</w:t>
            </w:r>
            <w:r w:rsidR="003028D2">
              <w:rPr>
                <w:rFonts w:ascii="Arial" w:hAnsi="Arial" w:cs="Arial"/>
                <w:color w:val="222222"/>
                <w:lang w:val="en"/>
              </w:rPr>
              <w:t>y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: </w:t>
            </w:r>
            <w:r w:rsidR="003028D2">
              <w:rPr>
                <w:rFonts w:ascii="Arial" w:hAnsi="Arial" w:cs="Arial"/>
                <w:color w:val="222222"/>
                <w:lang w:val="en"/>
              </w:rPr>
              <w:t>c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linical trials, assessment of </w:t>
            </w:r>
            <w:r w:rsidR="003028D2">
              <w:rPr>
                <w:rFonts w:ascii="Arial" w:hAnsi="Arial" w:cs="Arial"/>
                <w:color w:val="222222"/>
                <w:lang w:val="en"/>
              </w:rPr>
              <w:t>eff</w:t>
            </w:r>
            <w:r w:rsidR="0010591A">
              <w:rPr>
                <w:rFonts w:ascii="Arial" w:hAnsi="Arial" w:cs="Arial"/>
                <w:color w:val="222222"/>
                <w:lang w:val="en"/>
              </w:rPr>
              <w:t>i</w:t>
            </w:r>
            <w:r w:rsidR="003028D2">
              <w:rPr>
                <w:rFonts w:ascii="Arial" w:hAnsi="Arial" w:cs="Arial"/>
                <w:color w:val="222222"/>
                <w:lang w:val="en"/>
              </w:rPr>
              <w:t>c</w:t>
            </w:r>
            <w:r w:rsidR="0010591A">
              <w:rPr>
                <w:rFonts w:ascii="Arial" w:hAnsi="Arial" w:cs="Arial"/>
                <w:color w:val="222222"/>
                <w:lang w:val="en"/>
              </w:rPr>
              <w:t xml:space="preserve">acy </w:t>
            </w:r>
            <w:r w:rsidR="003028D2">
              <w:rPr>
                <w:rFonts w:ascii="Arial" w:hAnsi="Arial" w:cs="Arial"/>
                <w:color w:val="222222"/>
                <w:lang w:val="en"/>
              </w:rPr>
              <w:t>and adversity (lecture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1 hour, seminar 2 hours)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 xml:space="preserve">6. Prognosis of the disease: clinical trials and quantitative </w:t>
            </w:r>
            <w:r w:rsidR="00BF63DC">
              <w:rPr>
                <w:rFonts w:ascii="Arial" w:hAnsi="Arial" w:cs="Arial"/>
                <w:color w:val="222222"/>
                <w:lang w:val="en"/>
              </w:rPr>
              <w:t>analysis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(l</w:t>
            </w:r>
            <w:r w:rsidR="00BF63DC">
              <w:rPr>
                <w:rFonts w:ascii="Arial" w:hAnsi="Arial" w:cs="Arial"/>
                <w:color w:val="222222"/>
                <w:lang w:val="en"/>
              </w:rPr>
              <w:t>ecture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1 hour, seminar 1 hour)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>7. Evidence</w:t>
            </w:r>
            <w:r w:rsidR="00B96DBB">
              <w:rPr>
                <w:rFonts w:ascii="Arial" w:hAnsi="Arial" w:cs="Arial"/>
                <w:color w:val="222222"/>
                <w:lang w:val="en"/>
              </w:rPr>
              <w:t>-based medicine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, </w:t>
            </w:r>
            <w:r w:rsidR="00B96DBB">
              <w:rPr>
                <w:rFonts w:ascii="Arial" w:hAnsi="Arial" w:cs="Arial"/>
                <w:color w:val="222222"/>
                <w:lang w:val="en"/>
              </w:rPr>
              <w:t>achievements and restrictions, p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rocedures, </w:t>
            </w:r>
            <w:r w:rsidR="00B96DBB">
              <w:rPr>
                <w:rFonts w:ascii="Arial" w:hAnsi="Arial" w:cs="Arial"/>
                <w:color w:val="222222"/>
                <w:lang w:val="en"/>
              </w:rPr>
              <w:t>posing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B96DBB">
              <w:rPr>
                <w:rFonts w:ascii="Arial" w:hAnsi="Arial" w:cs="Arial"/>
                <w:color w:val="222222"/>
                <w:lang w:val="en"/>
              </w:rPr>
              <w:t>clinical q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uestions, </w:t>
            </w:r>
            <w:r w:rsidR="00B96DBB">
              <w:rPr>
                <w:rFonts w:ascii="Arial" w:hAnsi="Arial" w:cs="Arial"/>
                <w:color w:val="222222"/>
                <w:lang w:val="en"/>
              </w:rPr>
              <w:t>f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inding </w:t>
            </w:r>
            <w:r w:rsidR="00B96DBB">
              <w:rPr>
                <w:rFonts w:ascii="Arial" w:hAnsi="Arial" w:cs="Arial"/>
                <w:color w:val="222222"/>
                <w:lang w:val="en"/>
              </w:rPr>
              <w:t>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vidence (2 </w:t>
            </w:r>
            <w:r w:rsidR="00B96DBB">
              <w:rPr>
                <w:rFonts w:ascii="Arial" w:hAnsi="Arial" w:cs="Arial"/>
                <w:color w:val="222222"/>
                <w:lang w:val="en"/>
              </w:rPr>
              <w:t>h</w:t>
            </w:r>
            <w:r>
              <w:rPr>
                <w:rFonts w:ascii="Arial" w:hAnsi="Arial" w:cs="Arial"/>
                <w:color w:val="222222"/>
                <w:lang w:val="en"/>
              </w:rPr>
              <w:t>our</w:t>
            </w:r>
            <w:r w:rsidR="00B96DBB">
              <w:rPr>
                <w:rFonts w:ascii="Arial" w:hAnsi="Arial" w:cs="Arial"/>
                <w:color w:val="222222"/>
                <w:lang w:val="en"/>
              </w:rPr>
              <w:t>s l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ectures, 1 </w:t>
            </w:r>
            <w:r w:rsidR="00B96DBB">
              <w:rPr>
                <w:rFonts w:ascii="Arial" w:hAnsi="Arial" w:cs="Arial"/>
                <w:color w:val="222222"/>
                <w:lang w:val="en"/>
              </w:rPr>
              <w:t>h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our </w:t>
            </w:r>
            <w:r w:rsidR="00B96DBB">
              <w:rPr>
                <w:rFonts w:ascii="Arial" w:hAnsi="Arial" w:cs="Arial"/>
                <w:color w:val="222222"/>
                <w:lang w:val="en"/>
              </w:rPr>
              <w:t>s</w:t>
            </w:r>
            <w:r>
              <w:rPr>
                <w:rFonts w:ascii="Arial" w:hAnsi="Arial" w:cs="Arial"/>
                <w:color w:val="222222"/>
                <w:lang w:val="en"/>
              </w:rPr>
              <w:t>eminar)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 xml:space="preserve">8. Assessment of </w:t>
            </w:r>
            <w:r w:rsidR="00B96DBB">
              <w:rPr>
                <w:rFonts w:ascii="Arial" w:hAnsi="Arial" w:cs="Arial"/>
                <w:color w:val="222222"/>
                <w:lang w:val="en"/>
              </w:rPr>
              <w:t xml:space="preserve">papers </w:t>
            </w:r>
            <w:r>
              <w:rPr>
                <w:rFonts w:ascii="Arial" w:hAnsi="Arial" w:cs="Arial"/>
                <w:color w:val="222222"/>
                <w:lang w:val="en"/>
              </w:rPr>
              <w:t>on diagnostic procedures (2 hour</w:t>
            </w:r>
            <w:r w:rsidR="00B96DBB">
              <w:rPr>
                <w:rFonts w:ascii="Arial" w:hAnsi="Arial" w:cs="Arial"/>
                <w:color w:val="222222"/>
                <w:lang w:val="en"/>
              </w:rPr>
              <w:t>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seminar)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 xml:space="preserve">9. Evaluation of </w:t>
            </w:r>
            <w:r w:rsidR="00B377F0">
              <w:rPr>
                <w:rFonts w:ascii="Arial" w:hAnsi="Arial" w:cs="Arial"/>
                <w:color w:val="222222"/>
                <w:lang w:val="en"/>
              </w:rPr>
              <w:t>papers on t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herapeutic </w:t>
            </w:r>
            <w:r w:rsidR="00B377F0">
              <w:rPr>
                <w:rFonts w:ascii="Arial" w:hAnsi="Arial" w:cs="Arial"/>
                <w:color w:val="222222"/>
                <w:lang w:val="en"/>
              </w:rPr>
              <w:t>p</w:t>
            </w:r>
            <w:r>
              <w:rPr>
                <w:rFonts w:ascii="Arial" w:hAnsi="Arial" w:cs="Arial"/>
                <w:color w:val="222222"/>
                <w:lang w:val="en"/>
              </w:rPr>
              <w:t>rocedures (seminar 2 hours)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 xml:space="preserve">10. Estimation of </w:t>
            </w:r>
            <w:r w:rsidR="00B377F0">
              <w:rPr>
                <w:rFonts w:ascii="Arial" w:hAnsi="Arial" w:cs="Arial"/>
                <w:color w:val="222222"/>
                <w:lang w:val="en"/>
              </w:rPr>
              <w:t xml:space="preserve">papers on </w:t>
            </w:r>
            <w:r>
              <w:rPr>
                <w:rFonts w:ascii="Arial" w:hAnsi="Arial" w:cs="Arial"/>
                <w:color w:val="222222"/>
                <w:lang w:val="en"/>
              </w:rPr>
              <w:t>prognosis and cause of disease (2</w:t>
            </w:r>
            <w:r w:rsidR="00B377F0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n"/>
              </w:rPr>
              <w:t>hour</w:t>
            </w:r>
            <w:r w:rsidR="00B377F0">
              <w:rPr>
                <w:rFonts w:ascii="Arial" w:hAnsi="Arial" w:cs="Arial"/>
                <w:color w:val="222222"/>
                <w:lang w:val="en"/>
              </w:rPr>
              <w:t>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seminar)</w:t>
            </w:r>
          </w:p>
        </w:tc>
      </w:tr>
      <w:tr w:rsidR="00CC10B2" w:rsidRPr="00CC10B2" w:rsidTr="001E3053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CC10B2" w:rsidRPr="00CC10B2" w:rsidRDefault="001E3053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Content>
                <w:r w:rsidR="00C919FE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x</w:t>
                </w:r>
              </w:sdtContent>
            </w:sdt>
            <w:r w:rsidR="00CC10B2" w:rsidRPr="00CC10B2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CC10B2" w:rsidRPr="00CC10B2" w:rsidRDefault="001E3053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Content>
                    <w:r w:rsidR="00C919FE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x</w:t>
                    </w:r>
                  </w:sdtContent>
                </w:sdt>
              </w:sdtContent>
            </w:sdt>
            <w:r w:rsidR="00CC10B2" w:rsidRPr="00CC10B2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CC10B2" w:rsidRPr="00CC10B2" w:rsidRDefault="001E3053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Content>
                    <w:r w:rsidR="00CC10B2" w:rsidRPr="00CC10B2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C10B2" w:rsidRPr="00CC10B2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CC10B2" w:rsidRPr="00CC10B2" w:rsidRDefault="001E3053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Content>
                <w:r w:rsidR="00CC10B2" w:rsidRPr="00CC10B2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C10B2" w:rsidRPr="00CC10B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CC10B2" w:rsidRPr="00CC10B2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CC10B2" w:rsidRPr="00CC10B2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CC10B2" w:rsidRPr="00CC10B2" w:rsidRDefault="001E3053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Content>
                <w:r w:rsidR="00CC10B2" w:rsidRPr="00CC10B2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C10B2" w:rsidRPr="00CC10B2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CC10B2" w:rsidRPr="00CC10B2" w:rsidRDefault="001E3053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Content>
                <w:r w:rsidR="00CC10B2" w:rsidRPr="00CC10B2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C10B2" w:rsidRPr="00CC10B2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CC10B2" w:rsidRDefault="001E3053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Content>
                <w:r w:rsidR="00CC10B2" w:rsidRPr="00CC10B2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C10B2" w:rsidRPr="00CC10B2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CC10B2" w:rsidRPr="00CC10B2" w:rsidRDefault="001E3053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Content>
                <w:r w:rsidR="00CC10B2" w:rsidRPr="00CC10B2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C10B2" w:rsidRPr="00CC10B2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CC10B2" w:rsidRPr="00CC10B2" w:rsidRDefault="001E3053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Content>
                <w:r w:rsidR="00CC10B2" w:rsidRPr="00CC10B2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C10B2" w:rsidRPr="00CC10B2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CC10B2" w:rsidRPr="00CC10B2" w:rsidRDefault="001E3053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Content>
                <w:r w:rsidR="00CC10B2" w:rsidRPr="00CC10B2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C10B2" w:rsidRPr="00CC10B2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CC10B2" w:rsidRPr="00CC10B2" w:rsidRDefault="001E3053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Content>
                <w:r w:rsidR="00CC10B2" w:rsidRPr="00CC10B2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C10B2" w:rsidRPr="00CC10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C10B2"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10B2"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CC10B2"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C10B2"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CC10B2"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CC10B2"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CC10B2"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CC10B2"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CC10B2"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CC10B2"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C10B2" w:rsidRPr="00CC10B2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CC10B2" w:rsidRPr="00CC10B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C10B2" w:rsidRPr="00CC10B2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CC10B2" w:rsidRPr="00CC10B2" w:rsidTr="001E3053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C10B2" w:rsidRPr="00CC10B2" w:rsidTr="001E3053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CC10B2">
              <w:rPr>
                <w:rStyle w:val="CommentReference"/>
                <w:lang w:val="en-US"/>
              </w:rPr>
              <w:t xml:space="preserve"> </w:t>
            </w:r>
            <w:r w:rsidRPr="00CC10B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CC10B2" w:rsidRPr="00CC10B2" w:rsidTr="001E3053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CC10B2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CC10B2">
              <w:rPr>
                <w:rStyle w:val="CommentReference"/>
                <w:lang w:val="en-US"/>
              </w:rPr>
              <w:t xml:space="preserve"> </w:t>
            </w:r>
            <w:r w:rsidRPr="00CC10B2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CC10B2" w:rsidRDefault="001E3053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0.5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CC10B2" w:rsidRPr="00CC10B2" w:rsidTr="001E3053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C10B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CC10B2" w:rsidRPr="00CC10B2" w:rsidTr="001E3053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CC10B2" w:rsidRDefault="00D13907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C10B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CC10B2" w:rsidRPr="00CC10B2" w:rsidTr="001E3053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10B2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10B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CC10B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C10B2" w:rsidRPr="00CC10B2" w:rsidTr="001E3053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1E305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1E305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C10B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CC10B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C10B2" w:rsidRPr="00CC10B2" w:rsidTr="001E3053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C10B2" w:rsidRPr="00CC10B2" w:rsidRDefault="00FA2B53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Written exam and seminar essay</w:t>
            </w:r>
          </w:p>
        </w:tc>
      </w:tr>
      <w:tr w:rsidR="00CC10B2" w:rsidRPr="00CC10B2" w:rsidTr="001E3053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CC10B2" w:rsidRPr="00CC10B2" w:rsidTr="001E3053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0B2" w:rsidRPr="00CC10B2" w:rsidRDefault="00425EBA" w:rsidP="00425E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5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425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Gamulin</w:t>
            </w:r>
            <w:proofErr w:type="spellEnd"/>
            <w:r w:rsidRPr="00425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S. Clinical Research: Clinical Epidemiology, Zagreb,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Medicinska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naklada</w:t>
            </w:r>
            <w:proofErr w:type="spellEnd"/>
            <w:r w:rsidRPr="00425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201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C10B2" w:rsidRPr="00CC10B2" w:rsidTr="001E3053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0B2" w:rsidRPr="00CC10B2" w:rsidRDefault="00425EBA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 Seminar assignments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C10B2" w:rsidRPr="00CC10B2" w:rsidTr="001E3053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0B2" w:rsidRPr="00CC10B2" w:rsidRDefault="00425EBA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5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 Articles from whi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 seminar assignments are made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C10B2" w:rsidRPr="00CC10B2" w:rsidTr="001E3053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0B2" w:rsidRPr="00CC10B2" w:rsidRDefault="00425EBA" w:rsidP="00425E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 Lecture handouts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C10B2" w:rsidRPr="00CC10B2" w:rsidTr="001E3053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C10B2" w:rsidRPr="00CC10B2" w:rsidTr="001E3053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C10B2" w:rsidRPr="00CC10B2" w:rsidTr="001E3053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C10B2" w:rsidRPr="00CC10B2" w:rsidTr="001E3053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CC10B2" w:rsidRDefault="00CC10B2" w:rsidP="00CC10B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10B2" w:rsidRPr="00CC10B2" w:rsidRDefault="00CC10B2" w:rsidP="00CC10B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ED70B2" w:rsidRPr="00CC10B2" w:rsidTr="001E3053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D70B2" w:rsidRPr="00CC10B2" w:rsidRDefault="00ED70B2" w:rsidP="00ED70B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CC10B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CC10B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D70B2" w:rsidRPr="004154B5" w:rsidRDefault="00ED70B2" w:rsidP="004154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154B5">
              <w:rPr>
                <w:rFonts w:ascii="Arial" w:hAnsi="Arial" w:cs="Arial"/>
              </w:rPr>
              <w:t>Fletcher</w:t>
            </w:r>
            <w:proofErr w:type="spellEnd"/>
            <w:r w:rsidRPr="004154B5">
              <w:rPr>
                <w:rFonts w:ascii="Arial" w:hAnsi="Arial" w:cs="Arial"/>
              </w:rPr>
              <w:t xml:space="preserve"> W, </w:t>
            </w:r>
            <w:proofErr w:type="spellStart"/>
            <w:r w:rsidRPr="004154B5">
              <w:rPr>
                <w:rFonts w:ascii="Arial" w:hAnsi="Arial" w:cs="Arial"/>
              </w:rPr>
              <w:t>Fletcher</w:t>
            </w:r>
            <w:proofErr w:type="spellEnd"/>
            <w:r w:rsidRPr="004154B5">
              <w:rPr>
                <w:rFonts w:ascii="Arial" w:hAnsi="Arial" w:cs="Arial"/>
              </w:rPr>
              <w:t xml:space="preserve"> SW. </w:t>
            </w:r>
            <w:proofErr w:type="spellStart"/>
            <w:r w:rsidRPr="004154B5">
              <w:rPr>
                <w:rFonts w:ascii="Arial" w:hAnsi="Arial" w:cs="Arial"/>
              </w:rPr>
              <w:t>Clinical</w:t>
            </w:r>
            <w:proofErr w:type="spellEnd"/>
            <w:r w:rsidRPr="004154B5">
              <w:rPr>
                <w:rFonts w:ascii="Arial" w:hAnsi="Arial" w:cs="Arial"/>
              </w:rPr>
              <w:t xml:space="preserve"> </w:t>
            </w:r>
            <w:proofErr w:type="spellStart"/>
            <w:r w:rsidRPr="004154B5">
              <w:rPr>
                <w:rFonts w:ascii="Arial" w:hAnsi="Arial" w:cs="Arial"/>
              </w:rPr>
              <w:t>epidemiology</w:t>
            </w:r>
            <w:proofErr w:type="spellEnd"/>
            <w:r w:rsidRPr="004154B5">
              <w:rPr>
                <w:rFonts w:ascii="Arial" w:hAnsi="Arial" w:cs="Arial"/>
              </w:rPr>
              <w:t xml:space="preserve">: </w:t>
            </w:r>
            <w:proofErr w:type="spellStart"/>
            <w:r w:rsidRPr="004154B5">
              <w:rPr>
                <w:rFonts w:ascii="Arial" w:hAnsi="Arial" w:cs="Arial"/>
              </w:rPr>
              <w:t>The</w:t>
            </w:r>
            <w:proofErr w:type="spellEnd"/>
            <w:r w:rsidRPr="004154B5">
              <w:rPr>
                <w:rFonts w:ascii="Arial" w:hAnsi="Arial" w:cs="Arial"/>
              </w:rPr>
              <w:t xml:space="preserve"> </w:t>
            </w:r>
            <w:proofErr w:type="spellStart"/>
            <w:r w:rsidRPr="004154B5">
              <w:rPr>
                <w:rFonts w:ascii="Arial" w:hAnsi="Arial" w:cs="Arial"/>
              </w:rPr>
              <w:t>essentials</w:t>
            </w:r>
            <w:proofErr w:type="spellEnd"/>
            <w:r w:rsidRPr="004154B5">
              <w:rPr>
                <w:rFonts w:ascii="Arial" w:hAnsi="Arial" w:cs="Arial"/>
              </w:rPr>
              <w:t xml:space="preserve">, 4th </w:t>
            </w:r>
            <w:proofErr w:type="spellStart"/>
            <w:r w:rsidRPr="004154B5">
              <w:rPr>
                <w:rFonts w:ascii="Arial" w:hAnsi="Arial" w:cs="Arial"/>
              </w:rPr>
              <w:t>edition</w:t>
            </w:r>
            <w:proofErr w:type="spellEnd"/>
            <w:r w:rsidRPr="004154B5">
              <w:rPr>
                <w:rFonts w:ascii="Arial" w:hAnsi="Arial" w:cs="Arial"/>
              </w:rPr>
              <w:t xml:space="preserve">. </w:t>
            </w:r>
            <w:proofErr w:type="spellStart"/>
            <w:r w:rsidRPr="004154B5">
              <w:rPr>
                <w:rFonts w:ascii="Arial" w:hAnsi="Arial" w:cs="Arial"/>
              </w:rPr>
              <w:t>Lippincot</w:t>
            </w:r>
            <w:proofErr w:type="spellEnd"/>
            <w:r w:rsidRPr="004154B5">
              <w:rPr>
                <w:rFonts w:ascii="Arial" w:hAnsi="Arial" w:cs="Arial"/>
              </w:rPr>
              <w:t xml:space="preserve"> Williams </w:t>
            </w:r>
            <w:proofErr w:type="spellStart"/>
            <w:r w:rsidRPr="004154B5">
              <w:rPr>
                <w:rFonts w:ascii="Arial" w:hAnsi="Arial" w:cs="Arial"/>
              </w:rPr>
              <w:t>and</w:t>
            </w:r>
            <w:proofErr w:type="spellEnd"/>
            <w:r w:rsidRPr="004154B5">
              <w:rPr>
                <w:rFonts w:ascii="Arial" w:hAnsi="Arial" w:cs="Arial"/>
              </w:rPr>
              <w:t xml:space="preserve"> </w:t>
            </w:r>
            <w:proofErr w:type="spellStart"/>
            <w:r w:rsidRPr="004154B5">
              <w:rPr>
                <w:rFonts w:ascii="Arial" w:hAnsi="Arial" w:cs="Arial"/>
              </w:rPr>
              <w:t>Wilkins</w:t>
            </w:r>
            <w:proofErr w:type="spellEnd"/>
            <w:r w:rsidRPr="004154B5">
              <w:rPr>
                <w:rFonts w:ascii="Arial" w:hAnsi="Arial" w:cs="Arial"/>
              </w:rPr>
              <w:t>, 2005.</w:t>
            </w:r>
          </w:p>
          <w:p w:rsidR="00ED70B2" w:rsidRPr="004154B5" w:rsidRDefault="00ED70B2" w:rsidP="004154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154B5">
              <w:rPr>
                <w:rFonts w:ascii="Arial" w:hAnsi="Arial" w:cs="Arial"/>
              </w:rPr>
              <w:t>Sackett</w:t>
            </w:r>
            <w:proofErr w:type="spellEnd"/>
            <w:r w:rsidRPr="004154B5">
              <w:rPr>
                <w:rFonts w:ascii="Arial" w:hAnsi="Arial" w:cs="Arial"/>
              </w:rPr>
              <w:t xml:space="preserve"> DL, </w:t>
            </w:r>
            <w:proofErr w:type="spellStart"/>
            <w:r w:rsidRPr="004154B5">
              <w:rPr>
                <w:rFonts w:ascii="Arial" w:hAnsi="Arial" w:cs="Arial"/>
              </w:rPr>
              <w:t>Haynes</w:t>
            </w:r>
            <w:proofErr w:type="spellEnd"/>
            <w:r w:rsidRPr="004154B5">
              <w:rPr>
                <w:rFonts w:ascii="Arial" w:hAnsi="Arial" w:cs="Arial"/>
              </w:rPr>
              <w:t xml:space="preserve"> RB, </w:t>
            </w:r>
            <w:proofErr w:type="spellStart"/>
            <w:r w:rsidRPr="004154B5">
              <w:rPr>
                <w:rFonts w:ascii="Arial" w:hAnsi="Arial" w:cs="Arial"/>
              </w:rPr>
              <w:t>Guyatt</w:t>
            </w:r>
            <w:proofErr w:type="spellEnd"/>
            <w:r w:rsidRPr="004154B5">
              <w:rPr>
                <w:rFonts w:ascii="Arial" w:hAnsi="Arial" w:cs="Arial"/>
              </w:rPr>
              <w:t xml:space="preserve"> GH, </w:t>
            </w:r>
            <w:proofErr w:type="spellStart"/>
            <w:r w:rsidRPr="004154B5">
              <w:rPr>
                <w:rFonts w:ascii="Arial" w:hAnsi="Arial" w:cs="Arial"/>
              </w:rPr>
              <w:t>Tugwell</w:t>
            </w:r>
            <w:proofErr w:type="spellEnd"/>
            <w:r w:rsidRPr="004154B5">
              <w:rPr>
                <w:rFonts w:ascii="Arial" w:hAnsi="Arial" w:cs="Arial"/>
              </w:rPr>
              <w:t xml:space="preserve"> P. </w:t>
            </w:r>
            <w:proofErr w:type="spellStart"/>
            <w:r w:rsidRPr="004154B5">
              <w:rPr>
                <w:rFonts w:ascii="Arial" w:hAnsi="Arial" w:cs="Arial"/>
              </w:rPr>
              <w:t>Clinical</w:t>
            </w:r>
            <w:proofErr w:type="spellEnd"/>
            <w:r w:rsidRPr="004154B5">
              <w:rPr>
                <w:rFonts w:ascii="Arial" w:hAnsi="Arial" w:cs="Arial"/>
              </w:rPr>
              <w:t xml:space="preserve"> </w:t>
            </w:r>
            <w:proofErr w:type="spellStart"/>
            <w:r w:rsidRPr="004154B5">
              <w:rPr>
                <w:rFonts w:ascii="Arial" w:hAnsi="Arial" w:cs="Arial"/>
              </w:rPr>
              <w:t>epidemiology</w:t>
            </w:r>
            <w:proofErr w:type="spellEnd"/>
            <w:r w:rsidRPr="004154B5">
              <w:rPr>
                <w:rFonts w:ascii="Arial" w:hAnsi="Arial" w:cs="Arial"/>
              </w:rPr>
              <w:t xml:space="preserve">. A </w:t>
            </w:r>
            <w:proofErr w:type="spellStart"/>
            <w:r w:rsidRPr="004154B5">
              <w:rPr>
                <w:rFonts w:ascii="Arial" w:hAnsi="Arial" w:cs="Arial"/>
              </w:rPr>
              <w:t>basic</w:t>
            </w:r>
            <w:proofErr w:type="spellEnd"/>
            <w:r w:rsidRPr="004154B5">
              <w:rPr>
                <w:rFonts w:ascii="Arial" w:hAnsi="Arial" w:cs="Arial"/>
              </w:rPr>
              <w:t xml:space="preserve"> </w:t>
            </w:r>
            <w:proofErr w:type="spellStart"/>
            <w:r w:rsidRPr="004154B5">
              <w:rPr>
                <w:rFonts w:ascii="Arial" w:hAnsi="Arial" w:cs="Arial"/>
              </w:rPr>
              <w:t>science</w:t>
            </w:r>
            <w:proofErr w:type="spellEnd"/>
            <w:r w:rsidRPr="004154B5">
              <w:rPr>
                <w:rFonts w:ascii="Arial" w:hAnsi="Arial" w:cs="Arial"/>
              </w:rPr>
              <w:t xml:space="preserve"> for </w:t>
            </w:r>
            <w:proofErr w:type="spellStart"/>
            <w:r w:rsidRPr="004154B5">
              <w:rPr>
                <w:rFonts w:ascii="Arial" w:hAnsi="Arial" w:cs="Arial"/>
              </w:rPr>
              <w:t>clinical</w:t>
            </w:r>
            <w:proofErr w:type="spellEnd"/>
            <w:r w:rsidRPr="004154B5">
              <w:rPr>
                <w:rFonts w:ascii="Arial" w:hAnsi="Arial" w:cs="Arial"/>
              </w:rPr>
              <w:t xml:space="preserve"> medicine. Boston; </w:t>
            </w:r>
            <w:proofErr w:type="spellStart"/>
            <w:r w:rsidRPr="004154B5">
              <w:rPr>
                <w:rFonts w:ascii="Arial" w:hAnsi="Arial" w:cs="Arial"/>
              </w:rPr>
              <w:t>Little</w:t>
            </w:r>
            <w:proofErr w:type="spellEnd"/>
            <w:r w:rsidRPr="004154B5">
              <w:rPr>
                <w:rFonts w:ascii="Arial" w:hAnsi="Arial" w:cs="Arial"/>
              </w:rPr>
              <w:t xml:space="preserve">, Brown </w:t>
            </w:r>
            <w:proofErr w:type="spellStart"/>
            <w:r w:rsidRPr="004154B5">
              <w:rPr>
                <w:rFonts w:ascii="Arial" w:hAnsi="Arial" w:cs="Arial"/>
              </w:rPr>
              <w:t>and</w:t>
            </w:r>
            <w:proofErr w:type="spellEnd"/>
            <w:r w:rsidRPr="004154B5">
              <w:rPr>
                <w:rFonts w:ascii="Arial" w:hAnsi="Arial" w:cs="Arial"/>
              </w:rPr>
              <w:t xml:space="preserve"> Company, 1991.</w:t>
            </w:r>
          </w:p>
          <w:p w:rsidR="00ED70B2" w:rsidRPr="000102D4" w:rsidRDefault="00ED70B2" w:rsidP="004154B5">
            <w:pPr>
              <w:numPr>
                <w:ilvl w:val="0"/>
                <w:numId w:val="8"/>
              </w:numPr>
              <w:spacing w:after="0" w:line="240" w:lineRule="auto"/>
              <w:ind w:left="15" w:firstLine="0"/>
              <w:rPr>
                <w:rFonts w:ascii="Arial" w:hAnsi="Arial" w:cs="Arial"/>
              </w:rPr>
            </w:pPr>
            <w:proofErr w:type="spellStart"/>
            <w:r w:rsidRPr="000102D4">
              <w:rPr>
                <w:rFonts w:ascii="Arial" w:hAnsi="Arial" w:cs="Arial"/>
              </w:rPr>
              <w:t>Haynes</w:t>
            </w:r>
            <w:proofErr w:type="spellEnd"/>
            <w:r w:rsidRPr="000102D4">
              <w:rPr>
                <w:rFonts w:ascii="Arial" w:hAnsi="Arial" w:cs="Arial"/>
              </w:rPr>
              <w:t xml:space="preserve"> RB, </w:t>
            </w:r>
            <w:proofErr w:type="spellStart"/>
            <w:r w:rsidRPr="000102D4">
              <w:rPr>
                <w:rFonts w:ascii="Arial" w:hAnsi="Arial" w:cs="Arial"/>
              </w:rPr>
              <w:t>Sackett</w:t>
            </w:r>
            <w:proofErr w:type="spellEnd"/>
            <w:r w:rsidRPr="000102D4">
              <w:rPr>
                <w:rFonts w:ascii="Arial" w:hAnsi="Arial" w:cs="Arial"/>
              </w:rPr>
              <w:t xml:space="preserve"> DL, </w:t>
            </w:r>
            <w:proofErr w:type="spellStart"/>
            <w:r w:rsidRPr="000102D4">
              <w:rPr>
                <w:rFonts w:ascii="Arial" w:hAnsi="Arial" w:cs="Arial"/>
              </w:rPr>
              <w:t>Guyatt</w:t>
            </w:r>
            <w:proofErr w:type="spellEnd"/>
            <w:r w:rsidRPr="000102D4">
              <w:rPr>
                <w:rFonts w:ascii="Arial" w:hAnsi="Arial" w:cs="Arial"/>
              </w:rPr>
              <w:t xml:space="preserve"> GH, </w:t>
            </w:r>
            <w:proofErr w:type="spellStart"/>
            <w:r w:rsidRPr="000102D4">
              <w:rPr>
                <w:rFonts w:ascii="Arial" w:hAnsi="Arial" w:cs="Arial"/>
              </w:rPr>
              <w:t>Tugwell</w:t>
            </w:r>
            <w:proofErr w:type="spellEnd"/>
            <w:r w:rsidRPr="000102D4">
              <w:rPr>
                <w:rFonts w:ascii="Arial" w:hAnsi="Arial" w:cs="Arial"/>
              </w:rPr>
              <w:t xml:space="preserve"> P, </w:t>
            </w:r>
            <w:proofErr w:type="spellStart"/>
            <w:r w:rsidRPr="000102D4">
              <w:rPr>
                <w:rFonts w:ascii="Arial" w:hAnsi="Arial" w:cs="Arial"/>
              </w:rPr>
              <w:t>Clinical</w:t>
            </w:r>
            <w:proofErr w:type="spellEnd"/>
            <w:r w:rsidRPr="000102D4">
              <w:rPr>
                <w:rFonts w:ascii="Arial" w:hAnsi="Arial" w:cs="Arial"/>
              </w:rPr>
              <w:t xml:space="preserve"> </w:t>
            </w:r>
            <w:proofErr w:type="spellStart"/>
            <w:r w:rsidRPr="000102D4">
              <w:rPr>
                <w:rFonts w:ascii="Arial" w:hAnsi="Arial" w:cs="Arial"/>
              </w:rPr>
              <w:t>epidemiology</w:t>
            </w:r>
            <w:proofErr w:type="spellEnd"/>
            <w:r w:rsidRPr="000102D4">
              <w:rPr>
                <w:rFonts w:ascii="Arial" w:hAnsi="Arial" w:cs="Arial"/>
              </w:rPr>
              <w:t xml:space="preserve">, </w:t>
            </w:r>
            <w:proofErr w:type="spellStart"/>
            <w:r w:rsidRPr="000102D4">
              <w:rPr>
                <w:rFonts w:ascii="Arial" w:hAnsi="Arial" w:cs="Arial"/>
              </w:rPr>
              <w:t>Lippincott</w:t>
            </w:r>
            <w:proofErr w:type="spellEnd"/>
            <w:r w:rsidRPr="000102D4">
              <w:rPr>
                <w:rFonts w:ascii="Arial" w:hAnsi="Arial" w:cs="Arial"/>
              </w:rPr>
              <w:t xml:space="preserve"> Philadelphia, 2006.</w:t>
            </w:r>
          </w:p>
          <w:p w:rsidR="00ED70B2" w:rsidRDefault="00ED70B2" w:rsidP="004154B5">
            <w:pPr>
              <w:numPr>
                <w:ilvl w:val="0"/>
                <w:numId w:val="8"/>
              </w:numPr>
              <w:spacing w:after="0" w:line="240" w:lineRule="auto"/>
              <w:ind w:left="15" w:firstLine="0"/>
              <w:rPr>
                <w:rFonts w:ascii="Arial" w:hAnsi="Arial" w:cs="Arial"/>
              </w:rPr>
            </w:pPr>
            <w:proofErr w:type="spellStart"/>
            <w:r w:rsidRPr="000102D4">
              <w:rPr>
                <w:rFonts w:ascii="Arial" w:hAnsi="Arial" w:cs="Arial"/>
              </w:rPr>
              <w:lastRenderedPageBreak/>
              <w:t>Kolčić</w:t>
            </w:r>
            <w:proofErr w:type="spellEnd"/>
            <w:r w:rsidRPr="000102D4">
              <w:rPr>
                <w:rFonts w:ascii="Arial" w:hAnsi="Arial" w:cs="Arial"/>
              </w:rPr>
              <w:t xml:space="preserve"> I, </w:t>
            </w:r>
            <w:proofErr w:type="spellStart"/>
            <w:r w:rsidRPr="000102D4">
              <w:rPr>
                <w:rFonts w:ascii="Arial" w:hAnsi="Arial" w:cs="Arial"/>
              </w:rPr>
              <w:t>Vorko</w:t>
            </w:r>
            <w:proofErr w:type="spellEnd"/>
            <w:r w:rsidRPr="000102D4">
              <w:rPr>
                <w:rFonts w:ascii="Arial" w:hAnsi="Arial" w:cs="Arial"/>
              </w:rPr>
              <w:t xml:space="preserve"> Jović A (</w:t>
            </w:r>
            <w:proofErr w:type="spellStart"/>
            <w:r w:rsidRPr="000102D4">
              <w:rPr>
                <w:rFonts w:ascii="Arial" w:hAnsi="Arial" w:cs="Arial"/>
              </w:rPr>
              <w:t>ur</w:t>
            </w:r>
            <w:proofErr w:type="spellEnd"/>
            <w:r w:rsidRPr="000102D4">
              <w:rPr>
                <w:rFonts w:ascii="Arial" w:hAnsi="Arial" w:cs="Arial"/>
              </w:rPr>
              <w:t xml:space="preserve">). </w:t>
            </w:r>
            <w:proofErr w:type="spellStart"/>
            <w:r w:rsidRPr="000102D4">
              <w:rPr>
                <w:rFonts w:ascii="Arial" w:hAnsi="Arial" w:cs="Arial"/>
              </w:rPr>
              <w:t>Epidemiolog</w:t>
            </w:r>
            <w:r w:rsidR="007B0C76">
              <w:rPr>
                <w:rFonts w:ascii="Arial" w:hAnsi="Arial" w:cs="Arial"/>
              </w:rPr>
              <w:t>y</w:t>
            </w:r>
            <w:proofErr w:type="spellEnd"/>
            <w:r w:rsidRPr="000102D4">
              <w:rPr>
                <w:rFonts w:ascii="Arial" w:hAnsi="Arial" w:cs="Arial"/>
              </w:rPr>
              <w:t xml:space="preserve">. Medicinska naklada, Zagreb, 2012. </w:t>
            </w:r>
          </w:p>
          <w:p w:rsidR="00ED70B2" w:rsidRPr="00023A08" w:rsidRDefault="00ED70B2" w:rsidP="00A74EB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023A08">
              <w:rPr>
                <w:rFonts w:ascii="Arial" w:hAnsi="Arial" w:cs="Arial"/>
              </w:rPr>
              <w:t xml:space="preserve">Marušić M i sur. </w:t>
            </w:r>
            <w:proofErr w:type="spellStart"/>
            <w:r w:rsidR="00A74EB7" w:rsidRPr="00A74EB7">
              <w:rPr>
                <w:rFonts w:ascii="Arial" w:hAnsi="Arial" w:cs="Arial"/>
              </w:rPr>
              <w:t>Principles</w:t>
            </w:r>
            <w:proofErr w:type="spellEnd"/>
            <w:r w:rsidR="00A74EB7" w:rsidRPr="00A74EB7">
              <w:rPr>
                <w:rFonts w:ascii="Arial" w:hAnsi="Arial" w:cs="Arial"/>
              </w:rPr>
              <w:t xml:space="preserve"> </w:t>
            </w:r>
            <w:proofErr w:type="spellStart"/>
            <w:r w:rsidR="00A74EB7" w:rsidRPr="00A74EB7">
              <w:rPr>
                <w:rFonts w:ascii="Arial" w:hAnsi="Arial" w:cs="Arial"/>
              </w:rPr>
              <w:t>of</w:t>
            </w:r>
            <w:proofErr w:type="spellEnd"/>
            <w:r w:rsidR="00A74EB7" w:rsidRPr="00A74EB7">
              <w:rPr>
                <w:rFonts w:ascii="Arial" w:hAnsi="Arial" w:cs="Arial"/>
              </w:rPr>
              <w:t xml:space="preserve"> </w:t>
            </w:r>
            <w:proofErr w:type="spellStart"/>
            <w:r w:rsidR="00A74EB7" w:rsidRPr="00A74EB7">
              <w:rPr>
                <w:rFonts w:ascii="Arial" w:hAnsi="Arial" w:cs="Arial"/>
              </w:rPr>
              <w:t>research</w:t>
            </w:r>
            <w:proofErr w:type="spellEnd"/>
            <w:r w:rsidR="00A74EB7" w:rsidRPr="00A74EB7">
              <w:rPr>
                <w:rFonts w:ascii="Arial" w:hAnsi="Arial" w:cs="Arial"/>
              </w:rPr>
              <w:t xml:space="preserve"> </w:t>
            </w:r>
            <w:proofErr w:type="spellStart"/>
            <w:r w:rsidR="00A74EB7" w:rsidRPr="00A74EB7">
              <w:rPr>
                <w:rFonts w:ascii="Arial" w:hAnsi="Arial" w:cs="Arial"/>
              </w:rPr>
              <w:t>in</w:t>
            </w:r>
            <w:proofErr w:type="spellEnd"/>
            <w:r w:rsidR="00A74EB7" w:rsidRPr="00A74EB7">
              <w:rPr>
                <w:rFonts w:ascii="Arial" w:hAnsi="Arial" w:cs="Arial"/>
              </w:rPr>
              <w:t xml:space="preserve"> medicine</w:t>
            </w:r>
            <w:r w:rsidRPr="00023A08" w:rsidDel="00BD5A39">
              <w:rPr>
                <w:rFonts w:ascii="Arial" w:hAnsi="Arial" w:cs="Arial"/>
              </w:rPr>
              <w:t>,</w:t>
            </w:r>
            <w:r w:rsidRPr="00023A08">
              <w:rPr>
                <w:rFonts w:ascii="Arial" w:hAnsi="Arial" w:cs="Arial"/>
              </w:rPr>
              <w:t xml:space="preserve"> Zagreb</w:t>
            </w:r>
            <w:r w:rsidRPr="00023A08" w:rsidDel="00BD5A39">
              <w:rPr>
                <w:rFonts w:ascii="Arial" w:hAnsi="Arial" w:cs="Arial"/>
              </w:rPr>
              <w:t>,</w:t>
            </w:r>
            <w:r w:rsidRPr="00023A08">
              <w:rPr>
                <w:rFonts w:ascii="Arial" w:hAnsi="Arial" w:cs="Arial"/>
              </w:rPr>
              <w:t xml:space="preserve"> Medicinska naklada, 2008, poglavlja 4, 5, 6, 7.</w:t>
            </w:r>
            <w:bookmarkStart w:id="0" w:name="_GoBack"/>
            <w:bookmarkEnd w:id="0"/>
          </w:p>
        </w:tc>
      </w:tr>
      <w:tr w:rsidR="00ED70B2" w:rsidRPr="00CC10B2" w:rsidTr="001E3053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D70B2" w:rsidRPr="00CC10B2" w:rsidRDefault="00ED70B2" w:rsidP="00ED70B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D70B2" w:rsidRPr="00CC10B2" w:rsidRDefault="00ED70B2" w:rsidP="00ED70B2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ED70B2" w:rsidRPr="00CC10B2" w:rsidRDefault="00ED70B2" w:rsidP="00ED70B2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ED70B2" w:rsidRPr="00CC10B2" w:rsidRDefault="00ED70B2" w:rsidP="00ED70B2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ED70B2" w:rsidRPr="00CC10B2" w:rsidRDefault="00ED70B2" w:rsidP="00ED70B2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ED70B2" w:rsidRPr="00CC10B2" w:rsidTr="001E3053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D70B2" w:rsidRPr="00CC10B2" w:rsidRDefault="00ED70B2" w:rsidP="00ED70B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D70B2" w:rsidRPr="00CC10B2" w:rsidRDefault="00ED70B2" w:rsidP="00ED70B2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CC10B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Pr="00CC10B2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RPr="00CC10B2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03D5A"/>
    <w:multiLevelType w:val="hybridMultilevel"/>
    <w:tmpl w:val="C9EE2654"/>
    <w:lvl w:ilvl="0" w:tplc="7D9A1EF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F184D"/>
    <w:multiLevelType w:val="hybridMultilevel"/>
    <w:tmpl w:val="E04E9D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B144C7"/>
    <w:multiLevelType w:val="hybridMultilevel"/>
    <w:tmpl w:val="963E4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6E0221A6"/>
    <w:multiLevelType w:val="hybridMultilevel"/>
    <w:tmpl w:val="0AD600E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4227F8"/>
    <w:multiLevelType w:val="multilevel"/>
    <w:tmpl w:val="3CCEF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102D4"/>
    <w:rsid w:val="000128C6"/>
    <w:rsid w:val="00023A08"/>
    <w:rsid w:val="00095F3A"/>
    <w:rsid w:val="0010591A"/>
    <w:rsid w:val="00123A05"/>
    <w:rsid w:val="001E3053"/>
    <w:rsid w:val="00263CCF"/>
    <w:rsid w:val="0028290E"/>
    <w:rsid w:val="00294A89"/>
    <w:rsid w:val="002D1CB6"/>
    <w:rsid w:val="003028D2"/>
    <w:rsid w:val="003179AE"/>
    <w:rsid w:val="004154B5"/>
    <w:rsid w:val="00415D94"/>
    <w:rsid w:val="00425EBA"/>
    <w:rsid w:val="0049331B"/>
    <w:rsid w:val="00587A88"/>
    <w:rsid w:val="005D0B4E"/>
    <w:rsid w:val="00674B02"/>
    <w:rsid w:val="00750890"/>
    <w:rsid w:val="007A13C6"/>
    <w:rsid w:val="007A4A8C"/>
    <w:rsid w:val="007B0C76"/>
    <w:rsid w:val="00860E01"/>
    <w:rsid w:val="008B7013"/>
    <w:rsid w:val="008D70A4"/>
    <w:rsid w:val="008E5DEA"/>
    <w:rsid w:val="009E6D1D"/>
    <w:rsid w:val="00A625B8"/>
    <w:rsid w:val="00A74EB7"/>
    <w:rsid w:val="00B377F0"/>
    <w:rsid w:val="00B96DBB"/>
    <w:rsid w:val="00BB2AFE"/>
    <w:rsid w:val="00BF63DC"/>
    <w:rsid w:val="00C03C97"/>
    <w:rsid w:val="00C919FE"/>
    <w:rsid w:val="00CC10B2"/>
    <w:rsid w:val="00D13907"/>
    <w:rsid w:val="00DC77DB"/>
    <w:rsid w:val="00DD310B"/>
    <w:rsid w:val="00E05B52"/>
    <w:rsid w:val="00EB57CB"/>
    <w:rsid w:val="00EC0E70"/>
    <w:rsid w:val="00ED70B2"/>
    <w:rsid w:val="00F622E8"/>
    <w:rsid w:val="00FA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24EC"/>
  <w15:docId w15:val="{1F6C33DF-488E-4C5C-ACCA-4D0989A6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Ivana</cp:lastModifiedBy>
  <cp:revision>48</cp:revision>
  <dcterms:created xsi:type="dcterms:W3CDTF">2017-11-28T10:38:00Z</dcterms:created>
  <dcterms:modified xsi:type="dcterms:W3CDTF">2017-11-29T22:00:00Z</dcterms:modified>
</cp:coreProperties>
</file>